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4F56C" w14:textId="77777777" w:rsidR="00331A2B" w:rsidRPr="003F279D" w:rsidRDefault="00331A2B" w:rsidP="00331A2B">
      <w:pPr>
        <w:widowControl/>
        <w:jc w:val="left"/>
        <w:rPr>
          <w:rFonts w:ascii="ＭＳ ゴシック" w:eastAsia="ＭＳ ゴシック" w:hAnsi="ＭＳ ゴシック"/>
          <w:sz w:val="20"/>
          <w:szCs w:val="20"/>
        </w:rPr>
      </w:pPr>
      <w:r w:rsidRPr="0058396B">
        <w:rPr>
          <w:rFonts w:ascii="ＭＳ ゴシック" w:eastAsia="ＭＳ ゴシック" w:hAnsi="ＭＳ ゴシック" w:hint="eastAsia"/>
          <w:sz w:val="27"/>
          <w:szCs w:val="27"/>
        </w:rPr>
        <w:t>東京大学 201</w:t>
      </w:r>
      <w:r>
        <w:rPr>
          <w:rFonts w:ascii="ＭＳ ゴシック" w:eastAsia="ＭＳ ゴシック" w:hAnsi="ＭＳ ゴシック"/>
          <w:sz w:val="27"/>
          <w:szCs w:val="27"/>
        </w:rPr>
        <w:t>4</w:t>
      </w:r>
      <w:r w:rsidRPr="0058396B">
        <w:rPr>
          <w:rFonts w:ascii="ＭＳ ゴシック" w:eastAsia="ＭＳ ゴシック" w:hAnsi="ＭＳ ゴシック" w:hint="eastAsia"/>
          <w:sz w:val="27"/>
          <w:szCs w:val="27"/>
        </w:rPr>
        <w:t>年度冬学期　水曜日5限目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w:t>
      </w:r>
      <w:proofErr w:type="spellStart"/>
      <w:r w:rsidRPr="000A252E">
        <w:rPr>
          <w:rFonts w:ascii="ＭＳ ゴシック" w:eastAsia="ＭＳ ゴシック" w:hAnsi="ＭＳ ゴシック" w:hint="eastAsia"/>
          <w:sz w:val="27"/>
          <w:szCs w:val="27"/>
        </w:rPr>
        <w:t>gottschewski</w:t>
      </w:r>
      <w:proofErr w:type="spellEnd"/>
      <w:r w:rsidRPr="000A252E">
        <w:rPr>
          <w:rFonts w:ascii="ＭＳ ゴシック" w:eastAsia="ＭＳ ゴシック" w:hAnsi="ＭＳ ゴシック" w:hint="eastAsia"/>
          <w:sz w:val="27"/>
          <w:szCs w:val="27"/>
        </w:rPr>
        <w:t>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6EC7DEB0" w14:textId="68A985D2" w:rsidR="00331A2B" w:rsidRPr="000A252E" w:rsidRDefault="00331A2B" w:rsidP="00331A2B">
      <w:pPr>
        <w:pStyle w:val="a4"/>
        <w:rPr>
          <w:color w:val="000000"/>
          <w:sz w:val="32"/>
        </w:rPr>
      </w:pPr>
      <w:r w:rsidRPr="000A252E">
        <w:rPr>
          <w:rFonts w:hint="eastAsia"/>
          <w:color w:val="000000"/>
          <w:sz w:val="32"/>
        </w:rPr>
        <w:t>第</w:t>
      </w:r>
      <w:r>
        <w:rPr>
          <w:rFonts w:hint="eastAsia"/>
          <w:color w:val="000000"/>
          <w:sz w:val="32"/>
        </w:rPr>
        <w:t>9</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w:t>
      </w:r>
      <w:r>
        <w:rPr>
          <w:color w:val="000000"/>
          <w:sz w:val="32"/>
        </w:rPr>
        <w:t>2</w:t>
      </w:r>
      <w:r w:rsidRPr="000A252E">
        <w:rPr>
          <w:color w:val="000000"/>
          <w:sz w:val="32"/>
        </w:rPr>
        <w:t>/</w:t>
      </w:r>
      <w:r>
        <w:rPr>
          <w:color w:val="000000"/>
          <w:sz w:val="32"/>
        </w:rPr>
        <w:t>17</w:t>
      </w:r>
      <w:r w:rsidRPr="000A252E">
        <w:rPr>
          <w:rFonts w:hint="eastAsia"/>
          <w:color w:val="000000"/>
          <w:sz w:val="32"/>
        </w:rPr>
        <w:t>）</w:t>
      </w:r>
    </w:p>
    <w:p w14:paraId="46383B6C" w14:textId="77777777" w:rsidR="00186CF2" w:rsidRPr="00186CF2" w:rsidRDefault="00186CF2" w:rsidP="00186CF2"/>
    <w:p w14:paraId="72F41611" w14:textId="18A90E63" w:rsidR="00AE46A3" w:rsidRPr="003A43D3" w:rsidRDefault="005B29B8" w:rsidP="00AE46A3">
      <w:pPr>
        <w:widowControl/>
        <w:autoSpaceDE w:val="0"/>
        <w:autoSpaceDN w:val="0"/>
        <w:jc w:val="left"/>
        <w:rPr>
          <w:color w:val="000000" w:themeColor="text1"/>
          <w:sz w:val="28"/>
          <w:szCs w:val="28"/>
          <w:lang w:val="de-DE"/>
        </w:rPr>
      </w:pPr>
      <w:r w:rsidRPr="005B29B8">
        <w:rPr>
          <w:rFonts w:hint="eastAsia"/>
          <w:color w:val="000000" w:themeColor="text1"/>
          <w:sz w:val="28"/>
          <w:szCs w:val="28"/>
          <w:lang w:val="de-DE"/>
        </w:rPr>
        <w:t>歴史的な音楽美学的論争（</w:t>
      </w:r>
      <w:r w:rsidRPr="005B29B8">
        <w:rPr>
          <w:rFonts w:hint="eastAsia"/>
          <w:color w:val="000000" w:themeColor="text1"/>
          <w:sz w:val="28"/>
          <w:szCs w:val="28"/>
          <w:lang w:val="de-DE"/>
        </w:rPr>
        <w:t>19</w:t>
      </w:r>
      <w:r w:rsidRPr="005B29B8">
        <w:rPr>
          <w:rFonts w:hint="eastAsia"/>
          <w:color w:val="000000" w:themeColor="text1"/>
          <w:sz w:val="28"/>
          <w:szCs w:val="28"/>
          <w:lang w:val="de-DE"/>
        </w:rPr>
        <w:t>世紀の「絶対音楽」概念を中心に）</w:t>
      </w:r>
    </w:p>
    <w:p w14:paraId="2899B206" w14:textId="1FAEBE7C" w:rsidR="005B29B8" w:rsidRDefault="005B29B8" w:rsidP="003A43D3">
      <w:pPr>
        <w:adjustRightInd w:val="0"/>
        <w:snapToGrid w:val="0"/>
        <w:spacing w:line="320" w:lineRule="exact"/>
        <w:rPr>
          <w:lang w:val="de-DE"/>
        </w:rPr>
      </w:pPr>
      <w:r>
        <w:rPr>
          <w:rFonts w:hint="eastAsia"/>
          <w:lang w:val="de-DE"/>
        </w:rPr>
        <w:t>はじめに</w:t>
      </w:r>
    </w:p>
    <w:p w14:paraId="0DCE5319" w14:textId="0319C093" w:rsidR="005B29B8" w:rsidRDefault="00FF1E8B" w:rsidP="003A43D3">
      <w:pPr>
        <w:adjustRightInd w:val="0"/>
        <w:snapToGrid w:val="0"/>
        <w:spacing w:line="320" w:lineRule="exact"/>
        <w:rPr>
          <w:lang w:val="de-DE"/>
        </w:rPr>
      </w:pPr>
      <w:r>
        <w:rPr>
          <w:rFonts w:hint="eastAsia"/>
          <w:lang w:val="de-DE"/>
        </w:rPr>
        <w:t xml:space="preserve">　</w:t>
      </w:r>
      <w:r w:rsidR="00877337">
        <w:rPr>
          <w:rFonts w:hint="eastAsia"/>
          <w:lang w:val="de-DE"/>
        </w:rPr>
        <w:t>今までは音楽史を</w:t>
      </w:r>
      <w:r w:rsidR="00D12D9A">
        <w:rPr>
          <w:rFonts w:hint="eastAsia"/>
          <w:lang w:val="de-DE"/>
        </w:rPr>
        <w:t>記譜法、音楽論、</w:t>
      </w:r>
      <w:r w:rsidR="00877337">
        <w:rPr>
          <w:rFonts w:hint="eastAsia"/>
          <w:lang w:val="de-DE"/>
        </w:rPr>
        <w:t>音楽語法、</w:t>
      </w:r>
      <w:r w:rsidR="00D12D9A">
        <w:rPr>
          <w:rFonts w:hint="eastAsia"/>
          <w:lang w:val="de-DE"/>
        </w:rPr>
        <w:t>編曲文化、</w:t>
      </w:r>
      <w:r w:rsidR="00877337">
        <w:rPr>
          <w:rFonts w:hint="eastAsia"/>
          <w:lang w:val="de-DE"/>
        </w:rPr>
        <w:t>演奏形態、</w:t>
      </w:r>
      <w:r w:rsidR="00D12D9A">
        <w:rPr>
          <w:rFonts w:hint="eastAsia"/>
          <w:lang w:val="de-DE"/>
        </w:rPr>
        <w:t>曲種、</w:t>
      </w:r>
      <w:r w:rsidR="00877337">
        <w:rPr>
          <w:rFonts w:hint="eastAsia"/>
          <w:lang w:val="de-DE"/>
        </w:rPr>
        <w:t>作品解釈</w:t>
      </w:r>
      <w:r w:rsidR="00D12D9A">
        <w:rPr>
          <w:rFonts w:hint="eastAsia"/>
          <w:lang w:val="de-DE"/>
        </w:rPr>
        <w:t>などの観点から見てきたが、</w:t>
      </w:r>
      <w:r w:rsidR="00B03909">
        <w:rPr>
          <w:rFonts w:hint="eastAsia"/>
          <w:lang w:val="de-DE"/>
        </w:rPr>
        <w:t>哲学の立場から音楽に関するもっとも根本的な問題は「音楽</w:t>
      </w:r>
      <w:r w:rsidR="003C17C3">
        <w:rPr>
          <w:rFonts w:hint="eastAsia"/>
          <w:lang w:val="de-DE"/>
        </w:rPr>
        <w:t>と</w:t>
      </w:r>
      <w:r w:rsidR="00B03909">
        <w:rPr>
          <w:rFonts w:hint="eastAsia"/>
          <w:lang w:val="de-DE"/>
        </w:rPr>
        <w:t>は何か」という、いわゆるその「本質」を探る疑問だろう。あるいはこの疑問に対しての答えと直接的にも間接的にもつながる</w:t>
      </w:r>
      <w:r w:rsidR="005050EF">
        <w:rPr>
          <w:rFonts w:hint="eastAsia"/>
          <w:lang w:val="de-DE"/>
        </w:rPr>
        <w:t>美学的</w:t>
      </w:r>
      <w:r w:rsidR="00B03909">
        <w:rPr>
          <w:rFonts w:hint="eastAsia"/>
          <w:lang w:val="de-DE"/>
        </w:rPr>
        <w:t>評価の問題、すなわち「音楽はどうであるべきか」という、過去の事実・同時代の傾向・将来の可能性についての</w:t>
      </w:r>
      <w:r w:rsidR="00F90FA1">
        <w:rPr>
          <w:rFonts w:hint="eastAsia"/>
          <w:lang w:val="de-DE"/>
        </w:rPr>
        <w:t>全般</w:t>
      </w:r>
      <w:r w:rsidR="00B03909">
        <w:rPr>
          <w:rFonts w:hint="eastAsia"/>
          <w:lang w:val="de-DE"/>
        </w:rPr>
        <w:t>的な批判</w:t>
      </w:r>
      <w:r w:rsidR="00F90FA1">
        <w:rPr>
          <w:rFonts w:hint="eastAsia"/>
          <w:lang w:val="de-DE"/>
        </w:rPr>
        <w:t>だろう</w:t>
      </w:r>
      <w:r w:rsidR="00B03909">
        <w:rPr>
          <w:rFonts w:hint="eastAsia"/>
          <w:lang w:val="de-DE"/>
        </w:rPr>
        <w:t>。</w:t>
      </w:r>
      <w:r w:rsidR="00F90FA1">
        <w:rPr>
          <w:rFonts w:hint="eastAsia"/>
          <w:lang w:val="de-DE"/>
        </w:rPr>
        <w:t>この</w:t>
      </w:r>
      <w:r w:rsidR="005050EF">
        <w:rPr>
          <w:rFonts w:hint="eastAsia"/>
          <w:lang w:val="de-DE"/>
        </w:rPr>
        <w:t>問題については様々な</w:t>
      </w:r>
      <w:r w:rsidR="00C34538">
        <w:rPr>
          <w:rFonts w:hint="eastAsia"/>
          <w:lang w:val="de-DE"/>
        </w:rPr>
        <w:t>歴史的な</w:t>
      </w:r>
      <w:r w:rsidR="005050EF">
        <w:rPr>
          <w:rFonts w:hint="eastAsia"/>
          <w:lang w:val="de-DE"/>
        </w:rPr>
        <w:t>論争が</w:t>
      </w:r>
      <w:r w:rsidR="00C34538">
        <w:rPr>
          <w:rFonts w:hint="eastAsia"/>
          <w:lang w:val="de-DE"/>
        </w:rPr>
        <w:t>あった</w:t>
      </w:r>
      <w:r w:rsidR="005050EF">
        <w:rPr>
          <w:rFonts w:hint="eastAsia"/>
          <w:lang w:val="de-DE"/>
        </w:rPr>
        <w:t>。</w:t>
      </w:r>
      <w:r w:rsidR="00C34538">
        <w:rPr>
          <w:rFonts w:hint="eastAsia"/>
          <w:lang w:val="de-DE"/>
        </w:rPr>
        <w:t>そこでそれぞれ焦点となった論点から時代の特徴を読み取ることもできる。従って音楽美学的論争を一つの筋として音楽史を書くのもまた可能である。第９回の授業では</w:t>
      </w:r>
      <w:r w:rsidR="00C34538">
        <w:rPr>
          <w:lang w:val="de-DE"/>
        </w:rPr>
        <w:t>19</w:t>
      </w:r>
      <w:r w:rsidR="00C34538">
        <w:rPr>
          <w:rFonts w:hint="eastAsia"/>
          <w:lang w:val="de-DE"/>
        </w:rPr>
        <w:t>世紀にもっとも盛り上がった絶対音楽論とそ</w:t>
      </w:r>
      <w:r w:rsidR="00EE3353">
        <w:rPr>
          <w:rFonts w:hint="eastAsia"/>
          <w:lang w:val="de-DE"/>
        </w:rPr>
        <w:t>れへ</w:t>
      </w:r>
      <w:r w:rsidR="00C34538">
        <w:rPr>
          <w:rFonts w:hint="eastAsia"/>
          <w:lang w:val="de-DE"/>
        </w:rPr>
        <w:t>の反論を事例にそれを試したい。</w:t>
      </w:r>
    </w:p>
    <w:p w14:paraId="2B4F63A7" w14:textId="77777777" w:rsidR="005B29B8" w:rsidRDefault="005B29B8" w:rsidP="003A43D3">
      <w:pPr>
        <w:adjustRightInd w:val="0"/>
        <w:snapToGrid w:val="0"/>
        <w:spacing w:line="320" w:lineRule="exact"/>
        <w:rPr>
          <w:lang w:val="de-DE"/>
        </w:rPr>
      </w:pPr>
    </w:p>
    <w:p w14:paraId="3320DF3A" w14:textId="77777777" w:rsidR="009468A6" w:rsidRDefault="009468A6" w:rsidP="003A43D3">
      <w:pPr>
        <w:adjustRightInd w:val="0"/>
        <w:snapToGrid w:val="0"/>
        <w:spacing w:line="320" w:lineRule="exact"/>
        <w:rPr>
          <w:lang w:val="de-DE"/>
        </w:rPr>
      </w:pPr>
      <w:r>
        <w:rPr>
          <w:rFonts w:hint="eastAsia"/>
          <w:lang w:val="de-DE"/>
        </w:rPr>
        <w:t>①基礎知識　「絶対音楽」</w:t>
      </w:r>
    </w:p>
    <w:p w14:paraId="0F2079AF" w14:textId="5E193683" w:rsidR="009468A6" w:rsidRDefault="00FF1E8B" w:rsidP="003A43D3">
      <w:pPr>
        <w:adjustRightInd w:val="0"/>
        <w:snapToGrid w:val="0"/>
        <w:spacing w:line="320" w:lineRule="exact"/>
        <w:rPr>
          <w:lang w:val="de-DE"/>
        </w:rPr>
      </w:pPr>
      <w:r>
        <w:rPr>
          <w:rFonts w:hint="eastAsia"/>
          <w:lang w:val="de-DE"/>
        </w:rPr>
        <w:t xml:space="preserve">　</w:t>
      </w:r>
      <w:r w:rsidR="009468A6">
        <w:rPr>
          <w:rFonts w:hint="eastAsia"/>
          <w:lang w:val="de-DE"/>
        </w:rPr>
        <w:t>すでに第</w:t>
      </w:r>
      <w:r w:rsidR="002E1F6D">
        <w:rPr>
          <w:rFonts w:hint="eastAsia"/>
          <w:lang w:val="de-DE"/>
        </w:rPr>
        <w:t>６</w:t>
      </w:r>
      <w:r w:rsidR="009468A6">
        <w:rPr>
          <w:rFonts w:hint="eastAsia"/>
          <w:lang w:val="de-DE"/>
        </w:rPr>
        <w:t>回目の資料の最後の「</w:t>
      </w:r>
      <w:r w:rsidR="009468A6">
        <w:rPr>
          <w:rFonts w:hint="eastAsia"/>
          <w:color w:val="000000" w:themeColor="text1"/>
          <w:lang w:val="de-DE"/>
        </w:rPr>
        <w:t>修辞学の役割　その３</w:t>
      </w:r>
      <w:r w:rsidR="009468A6">
        <w:rPr>
          <w:rFonts w:hint="eastAsia"/>
          <w:lang w:val="de-DE"/>
        </w:rPr>
        <w:t>」で示唆したように、ロマン主義の一つの流れとして、音楽には</w:t>
      </w:r>
      <w:r w:rsidR="009468A6" w:rsidRPr="00114DDE">
        <w:rPr>
          <w:rFonts w:hint="eastAsia"/>
          <w:em w:val="dot"/>
          <w:lang w:val="de-DE"/>
        </w:rPr>
        <w:t>言葉で表現できない</w:t>
      </w:r>
      <w:r>
        <w:rPr>
          <w:rFonts w:hint="eastAsia"/>
          <w:lang w:val="de-DE"/>
        </w:rPr>
        <w:t>表現内容があり、それは</w:t>
      </w:r>
      <w:r w:rsidR="009468A6">
        <w:rPr>
          <w:rFonts w:hint="eastAsia"/>
          <w:lang w:val="de-DE"/>
        </w:rPr>
        <w:t>言葉で表現できる内容から</w:t>
      </w:r>
      <w:r w:rsidR="009468A6" w:rsidRPr="00114DDE">
        <w:rPr>
          <w:rFonts w:hint="eastAsia"/>
          <w:em w:val="dot"/>
          <w:lang w:val="de-DE"/>
        </w:rPr>
        <w:t>切り離された自立した領域</w:t>
      </w:r>
      <w:r w:rsidR="009468A6">
        <w:rPr>
          <w:rFonts w:hint="eastAsia"/>
          <w:lang w:val="de-DE"/>
        </w:rPr>
        <w:t>に</w:t>
      </w:r>
      <w:r w:rsidR="00153E74">
        <w:rPr>
          <w:rFonts w:hint="eastAsia"/>
          <w:lang w:val="de-DE"/>
        </w:rPr>
        <w:t>属すると考えられていた。その領域はどこにあり、人間の主観とどのような関係にあり、またそれが他の芸術の表現領域とどのよう</w:t>
      </w:r>
      <w:r w:rsidR="009468A6">
        <w:rPr>
          <w:rFonts w:hint="eastAsia"/>
          <w:lang w:val="de-DE"/>
        </w:rPr>
        <w:t>につながり、分析可能か分析不可なのかなどという点については、この考え方が発生した</w:t>
      </w:r>
      <w:r w:rsidR="009468A6">
        <w:rPr>
          <w:lang w:val="de-DE"/>
        </w:rPr>
        <w:t>1790</w:t>
      </w:r>
      <w:r w:rsidR="009468A6">
        <w:rPr>
          <w:rFonts w:hint="eastAsia"/>
          <w:lang w:val="de-DE"/>
        </w:rPr>
        <w:t>年代から</w:t>
      </w:r>
      <w:r w:rsidR="009468A6">
        <w:rPr>
          <w:lang w:val="de-DE"/>
        </w:rPr>
        <w:t>19</w:t>
      </w:r>
      <w:r w:rsidR="009468A6">
        <w:rPr>
          <w:rFonts w:hint="eastAsia"/>
          <w:lang w:val="de-DE"/>
        </w:rPr>
        <w:t>世紀後半まで議論し続けられている。しかし</w:t>
      </w:r>
      <w:r w:rsidR="00153E74">
        <w:rPr>
          <w:rFonts w:hint="eastAsia"/>
          <w:lang w:val="de-DE"/>
        </w:rPr>
        <w:t>この議論におけるさまざまな意見の</w:t>
      </w:r>
      <w:r w:rsidR="009468A6">
        <w:rPr>
          <w:rFonts w:hint="eastAsia"/>
          <w:lang w:val="de-DE"/>
        </w:rPr>
        <w:t>違いにもかかわらず共通しているのは、音楽が言葉と同等な、あるいはそれ以上のランクを持ち、その性質を経験、または理解できる材料としてもっとも適しているのは「純粋の音楽」、つまり言葉や他の芸術から</w:t>
      </w:r>
      <w:r w:rsidR="009468A6" w:rsidRPr="006C03D2">
        <w:rPr>
          <w:rFonts w:hint="eastAsia"/>
          <w:em w:val="dot"/>
          <w:lang w:val="de-DE"/>
        </w:rPr>
        <w:t>切り離された</w:t>
      </w:r>
      <w:r w:rsidR="009468A6">
        <w:rPr>
          <w:rFonts w:hint="eastAsia"/>
          <w:lang w:val="de-DE"/>
        </w:rPr>
        <w:t>、ただ</w:t>
      </w:r>
      <w:r w:rsidR="009468A6" w:rsidRPr="006C03D2">
        <w:rPr>
          <w:rFonts w:hint="eastAsia"/>
          <w:em w:val="dot"/>
          <w:lang w:val="de-DE"/>
        </w:rPr>
        <w:t>音だけを材料とする器楽</w:t>
      </w:r>
      <w:r w:rsidR="009468A6">
        <w:rPr>
          <w:rFonts w:hint="eastAsia"/>
          <w:lang w:val="de-DE"/>
        </w:rPr>
        <w:t>だという見識であった。この考え方を批判する派（特に</w:t>
      </w:r>
      <w:r w:rsidR="009468A6">
        <w:rPr>
          <w:lang w:val="de-DE"/>
        </w:rPr>
        <w:t>ヴァーグナー</w:t>
      </w:r>
      <w:r w:rsidR="009468A6">
        <w:rPr>
          <w:rFonts w:hint="eastAsia"/>
          <w:lang w:val="de-DE"/>
        </w:rPr>
        <w:t>）も出て来るが、賛成派も反対派も共通してこの「切り離された音楽」を「絶対音楽」（</w:t>
      </w:r>
      <w:r w:rsidR="009468A6">
        <w:rPr>
          <w:lang w:val="de-DE"/>
        </w:rPr>
        <w:t>absolute Musik</w:t>
      </w:r>
      <w:r w:rsidR="009468A6">
        <w:rPr>
          <w:rFonts w:hint="eastAsia"/>
          <w:lang w:val="de-DE"/>
        </w:rPr>
        <w:t>）と呼んでいる。「</w:t>
      </w:r>
      <w:r w:rsidR="009468A6">
        <w:rPr>
          <w:lang w:val="de-DE"/>
        </w:rPr>
        <w:t>absolut</w:t>
      </w:r>
      <w:r w:rsidR="009468A6">
        <w:rPr>
          <w:rFonts w:hint="eastAsia"/>
          <w:lang w:val="de-DE"/>
        </w:rPr>
        <w:t>」という単語はラテン語の「</w:t>
      </w:r>
      <w:proofErr w:type="spellStart"/>
      <w:r w:rsidR="009468A6">
        <w:rPr>
          <w:lang w:val="de-DE"/>
        </w:rPr>
        <w:t>absolvere</w:t>
      </w:r>
      <w:proofErr w:type="spellEnd"/>
      <w:r w:rsidR="009468A6">
        <w:rPr>
          <w:rFonts w:hint="eastAsia"/>
          <w:lang w:val="de-DE"/>
        </w:rPr>
        <w:t>」（切り離す）という動詞に由来する形容詞である。</w:t>
      </w:r>
    </w:p>
    <w:p w14:paraId="6BE8D83B" w14:textId="77777777" w:rsidR="009468A6" w:rsidRDefault="009468A6" w:rsidP="003A43D3">
      <w:pPr>
        <w:adjustRightInd w:val="0"/>
        <w:snapToGrid w:val="0"/>
        <w:spacing w:line="320" w:lineRule="exact"/>
        <w:rPr>
          <w:lang w:val="de-DE"/>
        </w:rPr>
      </w:pPr>
    </w:p>
    <w:p w14:paraId="5EBC4F56" w14:textId="77777777" w:rsidR="009468A6" w:rsidRDefault="009468A6" w:rsidP="003A43D3">
      <w:pPr>
        <w:adjustRightInd w:val="0"/>
        <w:snapToGrid w:val="0"/>
        <w:spacing w:line="320" w:lineRule="exact"/>
        <w:rPr>
          <w:lang w:val="de-DE"/>
        </w:rPr>
      </w:pPr>
      <w:r>
        <w:rPr>
          <w:rFonts w:hint="eastAsia"/>
          <w:lang w:val="de-DE"/>
        </w:rPr>
        <w:t>②基礎知識　絶対音楽の重要な主張者</w:t>
      </w:r>
    </w:p>
    <w:p w14:paraId="793C727A" w14:textId="4868E109" w:rsidR="009468A6" w:rsidRDefault="00C555F5" w:rsidP="003A43D3">
      <w:pPr>
        <w:adjustRightInd w:val="0"/>
        <w:snapToGrid w:val="0"/>
        <w:spacing w:line="320" w:lineRule="exact"/>
        <w:rPr>
          <w:lang w:val="de-DE"/>
        </w:rPr>
      </w:pPr>
      <w:r>
        <w:rPr>
          <w:rFonts w:hint="eastAsia"/>
          <w:lang w:val="de-DE"/>
        </w:rPr>
        <w:t xml:space="preserve">　</w:t>
      </w:r>
      <w:r w:rsidR="009468A6">
        <w:rPr>
          <w:lang w:val="de-DE"/>
        </w:rPr>
        <w:t>1790</w:t>
      </w:r>
      <w:r w:rsidR="009468A6">
        <w:rPr>
          <w:rFonts w:hint="eastAsia"/>
          <w:lang w:val="de-DE"/>
        </w:rPr>
        <w:t>年代にはドイツの若い作家たちのルートヴィヒ・ティーク（</w:t>
      </w:r>
      <w:r w:rsidR="009468A6">
        <w:rPr>
          <w:lang w:val="de-DE"/>
        </w:rPr>
        <w:t>Ludwig Tieck, 1773–1853</w:t>
      </w:r>
      <w:r w:rsidR="009468A6">
        <w:rPr>
          <w:rFonts w:hint="eastAsia"/>
          <w:lang w:val="de-DE"/>
        </w:rPr>
        <w:t>）と</w:t>
      </w:r>
      <w:r w:rsidR="009468A6" w:rsidRPr="00DB03A2">
        <w:rPr>
          <w:rFonts w:hint="eastAsia"/>
          <w:lang w:val="de-DE"/>
        </w:rPr>
        <w:t>ヴィルヘルム・ハインリヒ・ヴァッケンローダー</w:t>
      </w:r>
      <w:r w:rsidR="009468A6">
        <w:rPr>
          <w:rFonts w:hint="eastAsia"/>
          <w:lang w:val="de-DE"/>
        </w:rPr>
        <w:t>（</w:t>
      </w:r>
      <w:r w:rsidR="009468A6">
        <w:rPr>
          <w:lang w:val="de-DE"/>
        </w:rPr>
        <w:t>Wilhelm Heinrich Wackenroder, 1773–1798</w:t>
      </w:r>
      <w:r w:rsidR="009468A6">
        <w:rPr>
          <w:rFonts w:hint="eastAsia"/>
          <w:lang w:val="de-DE"/>
        </w:rPr>
        <w:t>）がそれぞれ</w:t>
      </w:r>
      <w:r w:rsidR="009468A6" w:rsidRPr="00562E32">
        <w:rPr>
          <w:rFonts w:hint="eastAsia"/>
          <w:color w:val="000000" w:themeColor="text1"/>
          <w:lang w:val="de-DE"/>
        </w:rPr>
        <w:t>の小説で絶対音</w:t>
      </w:r>
      <w:r w:rsidR="009468A6">
        <w:rPr>
          <w:rFonts w:hint="eastAsia"/>
          <w:lang w:val="de-DE"/>
        </w:rPr>
        <w:t>楽を感性や情意の直接的な表現手段として讃美し、作品に具体化する音楽におけるロマン派が現れる以前にロマン派音楽の理念を立ち上げた。その後は作歌・作曲家・音楽評論家・画家・法律家として活躍した多才の</w:t>
      </w:r>
      <w:r w:rsidR="009468A6">
        <w:rPr>
          <w:rFonts w:hint="eastAsia"/>
          <w:lang w:val="de-DE"/>
        </w:rPr>
        <w:t>E</w:t>
      </w:r>
      <w:r w:rsidR="009468A6">
        <w:rPr>
          <w:rFonts w:hint="eastAsia"/>
          <w:lang w:val="de-DE"/>
        </w:rPr>
        <w:t>・</w:t>
      </w:r>
      <w:r w:rsidR="009468A6">
        <w:rPr>
          <w:lang w:val="de-DE"/>
        </w:rPr>
        <w:t>T</w:t>
      </w:r>
      <w:r w:rsidR="009468A6">
        <w:rPr>
          <w:rFonts w:hint="eastAsia"/>
          <w:lang w:val="de-DE"/>
        </w:rPr>
        <w:t>・</w:t>
      </w:r>
      <w:r w:rsidR="009468A6">
        <w:rPr>
          <w:lang w:val="de-DE"/>
        </w:rPr>
        <w:t>A</w:t>
      </w:r>
      <w:r w:rsidR="009468A6">
        <w:rPr>
          <w:rFonts w:hint="eastAsia"/>
          <w:lang w:val="de-DE"/>
        </w:rPr>
        <w:t>・ホフマン（</w:t>
      </w:r>
      <w:r w:rsidR="009468A6">
        <w:rPr>
          <w:lang w:val="de-DE"/>
        </w:rPr>
        <w:t>Ernst Theodor Amadeus Hoffmann, 1776–1822</w:t>
      </w:r>
      <w:r w:rsidR="009468A6">
        <w:rPr>
          <w:rFonts w:hint="eastAsia"/>
          <w:lang w:val="de-DE"/>
        </w:rPr>
        <w:t>）が様々な「音楽小説」などでこの理念を展開した。ロマン派音楽がまだ存在しない時代</w:t>
      </w:r>
      <w:r w:rsidR="00582626">
        <w:rPr>
          <w:rFonts w:hint="eastAsia"/>
          <w:lang w:val="de-DE"/>
        </w:rPr>
        <w:t>に生きていたホフマンはハイドン・モーツァルト・ベートーフェンの３</w:t>
      </w:r>
      <w:r w:rsidR="009468A6">
        <w:rPr>
          <w:rFonts w:hint="eastAsia"/>
          <w:lang w:val="de-DE"/>
        </w:rPr>
        <w:t>人の音楽に理想を見て、それらの器楽曲をロマン派の音楽として解釈した。彼の根本的な主張を理解するには彼が</w:t>
      </w:r>
      <w:r w:rsidR="009468A6">
        <w:rPr>
          <w:lang w:val="de-DE"/>
        </w:rPr>
        <w:t>1810</w:t>
      </w:r>
      <w:r w:rsidR="009468A6">
        <w:rPr>
          <w:rFonts w:hint="eastAsia"/>
          <w:lang w:val="de-DE"/>
        </w:rPr>
        <w:t>年の『一般音楽新聞』（</w:t>
      </w:r>
      <w:r w:rsidR="009468A6">
        <w:rPr>
          <w:lang w:val="de-DE"/>
        </w:rPr>
        <w:t>Allgemeine musikalische Zeitung</w:t>
      </w:r>
      <w:r w:rsidR="009468A6">
        <w:rPr>
          <w:rFonts w:hint="eastAsia"/>
          <w:lang w:val="de-DE"/>
        </w:rPr>
        <w:t>）に発表した、ベートーフェンの５番の交響曲についての批評で</w:t>
      </w:r>
      <w:r w:rsidR="002B2758">
        <w:rPr>
          <w:rFonts w:hint="eastAsia"/>
          <w:lang w:val="de-DE"/>
        </w:rPr>
        <w:lastRenderedPageBreak/>
        <w:t>適する</w:t>
      </w:r>
      <w:r w:rsidR="009468A6">
        <w:rPr>
          <w:rFonts w:hint="eastAsia"/>
          <w:lang w:val="de-DE"/>
        </w:rPr>
        <w:t>。哲学者</w:t>
      </w:r>
      <w:r w:rsidR="009468A6" w:rsidRPr="00ED48DD">
        <w:rPr>
          <w:rFonts w:hint="eastAsia"/>
          <w:lang w:val="de-DE"/>
        </w:rPr>
        <w:t>アルトゥ</w:t>
      </w:r>
      <w:r w:rsidR="002B2758">
        <w:rPr>
          <w:rFonts w:hint="eastAsia"/>
          <w:lang w:val="de-DE"/>
        </w:rPr>
        <w:t>ー</w:t>
      </w:r>
      <w:r w:rsidR="009468A6" w:rsidRPr="00ED48DD">
        <w:rPr>
          <w:rFonts w:hint="eastAsia"/>
          <w:lang w:val="de-DE"/>
        </w:rPr>
        <w:t>ル・ショーペンハウアー</w:t>
      </w:r>
      <w:r w:rsidR="009468A6">
        <w:rPr>
          <w:rFonts w:hint="eastAsia"/>
          <w:lang w:val="de-DE"/>
        </w:rPr>
        <w:t>（</w:t>
      </w:r>
      <w:r w:rsidR="009468A6">
        <w:rPr>
          <w:lang w:val="de-DE"/>
        </w:rPr>
        <w:t>Arthur Schopenhauer, 1788–1860</w:t>
      </w:r>
      <w:r w:rsidR="009468A6">
        <w:rPr>
          <w:rFonts w:hint="eastAsia"/>
          <w:lang w:val="de-DE"/>
        </w:rPr>
        <w:t>）はティークとヴァッケンローダーの考え方を展開し、芸術の中の音楽の位置を哲学的に説明した。彼によれば全ての芸術が人間の精神の直接的な表現となるのだが、音楽だけが全ての具体から抽象化したその精神の本質を純粋に表現できる。従って音楽は全ての芸術の中で抜きん出て</w:t>
      </w:r>
      <w:r w:rsidR="002B2758">
        <w:rPr>
          <w:rFonts w:hint="eastAsia"/>
          <w:lang w:val="de-DE"/>
        </w:rPr>
        <w:t>第</w:t>
      </w:r>
      <w:r w:rsidR="009468A6">
        <w:rPr>
          <w:rFonts w:hint="eastAsia"/>
          <w:lang w:val="de-DE"/>
        </w:rPr>
        <w:t>一位を占めることになるのである。</w:t>
      </w:r>
    </w:p>
    <w:p w14:paraId="1F00A32A" w14:textId="7A8DF8F2" w:rsidR="009468A6" w:rsidRPr="002F4A13" w:rsidRDefault="009468A6" w:rsidP="003A43D3">
      <w:pPr>
        <w:adjustRightInd w:val="0"/>
        <w:snapToGrid w:val="0"/>
        <w:spacing w:line="320" w:lineRule="exact"/>
        <w:rPr>
          <w:color w:val="FF0000"/>
          <w:lang w:val="de-DE"/>
        </w:rPr>
      </w:pPr>
      <w:r>
        <w:rPr>
          <w:rFonts w:hint="eastAsia"/>
          <w:color w:val="FF0000"/>
          <w:lang w:val="de-DE"/>
        </w:rPr>
        <w:t xml:space="preserve">　</w:t>
      </w:r>
      <w:r>
        <w:rPr>
          <w:lang w:val="de-DE"/>
        </w:rPr>
        <w:t>19</w:t>
      </w:r>
      <w:r>
        <w:rPr>
          <w:rFonts w:hint="eastAsia"/>
          <w:lang w:val="de-DE"/>
        </w:rPr>
        <w:t>世紀半ばになると絶対音楽の主張者と標題音楽の主張者が激しく対立するが、その対立で絶対音楽の理念を音楽論的に裏付けたのは</w:t>
      </w:r>
      <w:r w:rsidRPr="008E0B98">
        <w:rPr>
          <w:rFonts w:hint="eastAsia"/>
          <w:lang w:val="de-DE"/>
        </w:rPr>
        <w:t>エドゥアルト・ハンスリック</w:t>
      </w:r>
      <w:r>
        <w:rPr>
          <w:rFonts w:hint="eastAsia"/>
          <w:lang w:val="de-DE"/>
        </w:rPr>
        <w:t>（</w:t>
      </w:r>
      <w:r>
        <w:rPr>
          <w:lang w:val="de-DE"/>
        </w:rPr>
        <w:t xml:space="preserve">Eduard </w:t>
      </w:r>
      <w:proofErr w:type="spellStart"/>
      <w:r>
        <w:rPr>
          <w:lang w:val="de-DE"/>
        </w:rPr>
        <w:t>Hanslick</w:t>
      </w:r>
      <w:proofErr w:type="spellEnd"/>
      <w:r>
        <w:rPr>
          <w:lang w:val="de-DE"/>
        </w:rPr>
        <w:t>, 1825–190</w:t>
      </w:r>
      <w:r>
        <w:rPr>
          <w:lang w:val="de-DE" w:eastAsia="ko-KR"/>
        </w:rPr>
        <w:t>4</w:t>
      </w:r>
      <w:r>
        <w:rPr>
          <w:rFonts w:hint="eastAsia"/>
          <w:lang w:val="de-DE"/>
        </w:rPr>
        <w:t>）の『音楽美論』であった。彼によれば音楽に</w:t>
      </w:r>
      <w:r w:rsidR="002B2758">
        <w:rPr>
          <w:rFonts w:hint="eastAsia"/>
          <w:lang w:val="de-DE"/>
        </w:rPr>
        <w:t>おいて</w:t>
      </w:r>
      <w:r>
        <w:rPr>
          <w:rFonts w:hint="eastAsia"/>
          <w:lang w:val="de-DE"/>
        </w:rPr>
        <w:t>は「形式」と「内容」が区別されず、むしろ形式が音楽の内容である。</w:t>
      </w:r>
    </w:p>
    <w:p w14:paraId="76804B03" w14:textId="77777777" w:rsidR="009468A6" w:rsidRDefault="009468A6" w:rsidP="003A43D3">
      <w:pPr>
        <w:adjustRightInd w:val="0"/>
        <w:snapToGrid w:val="0"/>
        <w:spacing w:line="320" w:lineRule="exact"/>
        <w:rPr>
          <w:lang w:val="de-DE"/>
        </w:rPr>
      </w:pPr>
    </w:p>
    <w:p w14:paraId="32CA9A3E" w14:textId="77777777" w:rsidR="009468A6" w:rsidRDefault="009468A6" w:rsidP="003A43D3">
      <w:pPr>
        <w:adjustRightInd w:val="0"/>
        <w:snapToGrid w:val="0"/>
        <w:spacing w:line="320" w:lineRule="exact"/>
        <w:rPr>
          <w:lang w:val="de-DE"/>
        </w:rPr>
      </w:pPr>
      <w:r>
        <w:rPr>
          <w:rFonts w:hint="eastAsia"/>
          <w:lang w:val="de-DE"/>
        </w:rPr>
        <w:t>③基礎知識　「標題音楽」と「総合芸術」</w:t>
      </w:r>
    </w:p>
    <w:p w14:paraId="218C0295" w14:textId="17EE1E66" w:rsidR="009468A6" w:rsidRDefault="00C90973" w:rsidP="003A43D3">
      <w:pPr>
        <w:adjustRightInd w:val="0"/>
        <w:snapToGrid w:val="0"/>
        <w:spacing w:line="320" w:lineRule="exact"/>
        <w:rPr>
          <w:lang w:val="de-DE"/>
        </w:rPr>
      </w:pPr>
      <w:r>
        <w:rPr>
          <w:rFonts w:hint="eastAsia"/>
          <w:lang w:val="de-DE"/>
        </w:rPr>
        <w:t xml:space="preserve">　</w:t>
      </w:r>
      <w:r w:rsidR="009468A6">
        <w:rPr>
          <w:lang w:val="de-DE"/>
        </w:rPr>
        <w:t>19</w:t>
      </w:r>
      <w:r w:rsidR="00737580">
        <w:rPr>
          <w:rFonts w:hint="eastAsia"/>
          <w:lang w:val="de-DE"/>
        </w:rPr>
        <w:t>世紀の音楽美学が２</w:t>
      </w:r>
      <w:r w:rsidR="009468A6">
        <w:rPr>
          <w:rFonts w:hint="eastAsia"/>
          <w:lang w:val="de-DE"/>
        </w:rPr>
        <w:t>つの派に分かれていたといえばそれは余りにも単純すぎる考え方ではあるが、激</w:t>
      </w:r>
      <w:r w:rsidR="00737580">
        <w:rPr>
          <w:rFonts w:hint="eastAsia"/>
          <w:lang w:val="de-DE"/>
        </w:rPr>
        <w:t>しい論争の中でその２</w:t>
      </w:r>
      <w:r w:rsidR="009468A6">
        <w:rPr>
          <w:rFonts w:hint="eastAsia"/>
          <w:lang w:val="de-DE"/>
        </w:rPr>
        <w:t>つの派をおおむね特定できないわけでもない。そこで「絶対音楽」の主張者の反対派としてまず音楽評論家フランツ・ベレンデル（</w:t>
      </w:r>
      <w:r w:rsidR="009468A6">
        <w:rPr>
          <w:lang w:val="de-DE"/>
        </w:rPr>
        <w:t>Franz Brendel, 1811–1868</w:t>
      </w:r>
      <w:r w:rsidR="009468A6">
        <w:rPr>
          <w:rFonts w:hint="eastAsia"/>
          <w:lang w:val="de-DE"/>
        </w:rPr>
        <w:t>）が「新ドイツ楽派」の存在を主張した。この新ドイツ楽派は</w:t>
      </w:r>
      <w:r w:rsidR="009468A6" w:rsidRPr="00562E32">
        <w:rPr>
          <w:rFonts w:hint="eastAsia"/>
          <w:lang w:val="de-DE"/>
        </w:rPr>
        <w:t>エクトル・ベルリオーズ</w:t>
      </w:r>
      <w:r w:rsidR="009468A6">
        <w:rPr>
          <w:rFonts w:hint="eastAsia"/>
          <w:lang w:val="de-DE"/>
        </w:rPr>
        <w:t>、フランツ・リスト、リヒャルト・</w:t>
      </w:r>
      <w:r w:rsidR="009468A6">
        <w:rPr>
          <w:lang w:val="de-DE"/>
        </w:rPr>
        <w:t>ヴァーグナー</w:t>
      </w:r>
      <w:r w:rsidR="00B667AC">
        <w:rPr>
          <w:rFonts w:hint="eastAsia"/>
          <w:lang w:val="de-DE"/>
        </w:rPr>
        <w:t>の３</w:t>
      </w:r>
      <w:r w:rsidR="009468A6">
        <w:rPr>
          <w:rFonts w:hint="eastAsia"/>
          <w:lang w:val="de-DE"/>
        </w:rPr>
        <w:t>人（その内</w:t>
      </w:r>
      <w:r w:rsidR="009468A6">
        <w:rPr>
          <w:lang w:val="de-DE"/>
        </w:rPr>
        <w:t>ヴァーグナー</w:t>
      </w:r>
      <w:r w:rsidR="009468A6">
        <w:rPr>
          <w:rFonts w:hint="eastAsia"/>
          <w:lang w:val="de-DE"/>
        </w:rPr>
        <w:t>のみがドイツ人）に代表されるが、「絶対音楽」に対応する概念としてはまず「標題音楽」が設定される。標題音楽は原則として器楽曲だが、音楽の外にあるテーマを標題とし、器楽の限られた表現</w:t>
      </w:r>
      <w:r w:rsidR="00366EC5">
        <w:rPr>
          <w:rFonts w:hint="eastAsia"/>
          <w:lang w:val="de-DE"/>
        </w:rPr>
        <w:t>を超えた意味を持つ音楽になるのである。「絶対音楽」対</w:t>
      </w:r>
      <w:r w:rsidR="009468A6">
        <w:rPr>
          <w:rFonts w:hint="eastAsia"/>
          <w:lang w:val="de-DE"/>
        </w:rPr>
        <w:t>「標題音楽」の論争は</w:t>
      </w:r>
      <w:r w:rsidR="009468A6">
        <w:rPr>
          <w:lang w:val="de-DE"/>
        </w:rPr>
        <w:t>20</w:t>
      </w:r>
      <w:r w:rsidR="009468A6">
        <w:rPr>
          <w:rFonts w:hint="eastAsia"/>
          <w:lang w:val="de-DE"/>
        </w:rPr>
        <w:t>世紀まで続く。</w:t>
      </w:r>
    </w:p>
    <w:p w14:paraId="5369586C" w14:textId="49B639F7" w:rsidR="009468A6" w:rsidRPr="00186CF2" w:rsidRDefault="009468A6" w:rsidP="003A43D3">
      <w:pPr>
        <w:autoSpaceDE w:val="0"/>
        <w:autoSpaceDN w:val="0"/>
        <w:adjustRightInd w:val="0"/>
        <w:snapToGrid w:val="0"/>
        <w:spacing w:line="320" w:lineRule="exact"/>
        <w:jc w:val="left"/>
        <w:rPr>
          <w:color w:val="000000" w:themeColor="text1"/>
          <w:lang w:val="de-DE"/>
        </w:rPr>
      </w:pPr>
      <w:r>
        <w:rPr>
          <w:rFonts w:hint="eastAsia"/>
          <w:lang w:val="de-DE"/>
        </w:rPr>
        <w:t xml:space="preserve">　また</w:t>
      </w:r>
      <w:r>
        <w:rPr>
          <w:lang w:val="de-DE"/>
        </w:rPr>
        <w:t>1850</w:t>
      </w:r>
      <w:r>
        <w:rPr>
          <w:rFonts w:hint="eastAsia"/>
          <w:lang w:val="de-DE"/>
        </w:rPr>
        <w:t>年頃</w:t>
      </w:r>
      <w:r>
        <w:rPr>
          <w:lang w:val="de-DE"/>
        </w:rPr>
        <w:t>ヴァーグナー</w:t>
      </w:r>
      <w:r>
        <w:rPr>
          <w:rFonts w:hint="eastAsia"/>
          <w:lang w:val="de-DE"/>
        </w:rPr>
        <w:t>が古代ギリシアの演劇論に基づいて、純音楽にはもはや将来がない、将来の唯一の芸術は音楽と舞踊と演劇を含む「総合芸術」にあると主張する。その考え方の象徴的なきっかけとなるのはベートーフェンの９番の交響曲である。つまり９番の交響曲は最後の楽章で合唱団が入ることによって、純粋な</w:t>
      </w:r>
      <w:r w:rsidR="00ED0BF9">
        <w:rPr>
          <w:rFonts w:hint="eastAsia"/>
          <w:lang w:val="de-DE"/>
        </w:rPr>
        <w:t>器楽である交響曲が可能性の限界に到達したという主張である。したがって</w:t>
      </w:r>
      <w:r>
        <w:rPr>
          <w:lang w:val="de-DE"/>
        </w:rPr>
        <w:t>ヴァーグナー</w:t>
      </w:r>
      <w:r w:rsidR="00227E67">
        <w:rPr>
          <w:rFonts w:hint="eastAsia"/>
          <w:lang w:val="de-DE"/>
        </w:rPr>
        <w:t>は</w:t>
      </w:r>
      <w:r>
        <w:rPr>
          <w:rFonts w:hint="eastAsia"/>
          <w:lang w:val="de-DE"/>
        </w:rPr>
        <w:t>９番の交響曲を「最後の交響曲」と呼んだ。</w:t>
      </w:r>
    </w:p>
    <w:p w14:paraId="3999F9E9" w14:textId="74DC1D59" w:rsidR="005537B3" w:rsidRDefault="005F05EF" w:rsidP="009468A6">
      <w:pPr>
        <w:adjustRightInd w:val="0"/>
        <w:snapToGrid w:val="0"/>
        <w:spacing w:line="360" w:lineRule="exact"/>
        <w:rPr>
          <w:color w:val="000000" w:themeColor="text1"/>
          <w:lang w:val="de-DE"/>
        </w:rPr>
      </w:pPr>
    </w:p>
    <w:p w14:paraId="1C821A6D" w14:textId="4FCDE869" w:rsidR="00853A03" w:rsidRDefault="00853A03" w:rsidP="009468A6">
      <w:pPr>
        <w:adjustRightInd w:val="0"/>
        <w:snapToGrid w:val="0"/>
        <w:spacing w:line="360" w:lineRule="exact"/>
        <w:rPr>
          <w:color w:val="000000" w:themeColor="text1"/>
          <w:lang w:val="de-DE"/>
        </w:rPr>
      </w:pPr>
      <w:r>
        <w:rPr>
          <w:rFonts w:hint="eastAsia"/>
          <w:color w:val="000000" w:themeColor="text1"/>
          <w:lang w:val="de-DE"/>
        </w:rPr>
        <w:t>テキスト</w:t>
      </w:r>
      <w:r w:rsidR="00380612">
        <w:rPr>
          <w:rFonts w:hint="eastAsia"/>
          <w:color w:val="000000" w:themeColor="text1"/>
          <w:lang w:val="de-DE"/>
        </w:rPr>
        <w:t>①</w:t>
      </w:r>
    </w:p>
    <w:p w14:paraId="18129006" w14:textId="3205F649" w:rsidR="00853A03" w:rsidRDefault="00380612" w:rsidP="009468A6">
      <w:pPr>
        <w:adjustRightInd w:val="0"/>
        <w:snapToGrid w:val="0"/>
        <w:spacing w:line="360" w:lineRule="exact"/>
        <w:rPr>
          <w:color w:val="000000" w:themeColor="text1"/>
          <w:lang w:val="de-DE"/>
        </w:rPr>
      </w:pPr>
      <w:r>
        <w:rPr>
          <w:color w:val="000000" w:themeColor="text1"/>
          <w:lang w:val="de-DE"/>
        </w:rPr>
        <w:t>E</w:t>
      </w:r>
      <w:r>
        <w:rPr>
          <w:rFonts w:hint="eastAsia"/>
          <w:color w:val="000000" w:themeColor="text1"/>
          <w:lang w:val="de-DE"/>
        </w:rPr>
        <w:t>・</w:t>
      </w:r>
      <w:r>
        <w:rPr>
          <w:color w:val="000000" w:themeColor="text1"/>
          <w:lang w:val="de-DE"/>
        </w:rPr>
        <w:t>T</w:t>
      </w:r>
      <w:r>
        <w:rPr>
          <w:rFonts w:hint="eastAsia"/>
          <w:color w:val="000000" w:themeColor="text1"/>
          <w:lang w:val="de-DE"/>
        </w:rPr>
        <w:t>・</w:t>
      </w:r>
      <w:r>
        <w:rPr>
          <w:color w:val="000000" w:themeColor="text1"/>
          <w:lang w:val="de-DE"/>
        </w:rPr>
        <w:t>A</w:t>
      </w:r>
      <w:r>
        <w:rPr>
          <w:rFonts w:hint="eastAsia"/>
          <w:color w:val="000000" w:themeColor="text1"/>
          <w:lang w:val="de-DE"/>
        </w:rPr>
        <w:t>・ホフマン、ベートーフェンの交響曲第５番についての批評</w:t>
      </w:r>
    </w:p>
    <w:p w14:paraId="29C61BC6" w14:textId="43259F6E" w:rsidR="00380612" w:rsidRDefault="00380612" w:rsidP="009468A6">
      <w:pPr>
        <w:adjustRightInd w:val="0"/>
        <w:snapToGrid w:val="0"/>
        <w:spacing w:line="360" w:lineRule="exact"/>
        <w:rPr>
          <w:color w:val="000000" w:themeColor="text1"/>
          <w:lang w:val="de-DE"/>
        </w:rPr>
      </w:pPr>
      <w:r>
        <w:rPr>
          <w:rFonts w:hint="eastAsia"/>
          <w:color w:val="000000" w:themeColor="text1"/>
          <w:lang w:val="de-DE"/>
        </w:rPr>
        <w:t>出典：</w:t>
      </w:r>
      <w:r>
        <w:rPr>
          <w:color w:val="000000" w:themeColor="text1"/>
          <w:lang w:val="de-DE"/>
        </w:rPr>
        <w:t>Allgemeine Musikalische Zeitung (Leipzig), 12. Jahrgang, 4. Juli 1810</w:t>
      </w:r>
    </w:p>
    <w:tbl>
      <w:tblPr>
        <w:tblStyle w:val="ad"/>
        <w:tblW w:w="0" w:type="auto"/>
        <w:tblLook w:val="04A0" w:firstRow="1" w:lastRow="0" w:firstColumn="1" w:lastColumn="0" w:noHBand="0" w:noVBand="1"/>
      </w:tblPr>
      <w:tblGrid>
        <w:gridCol w:w="5070"/>
        <w:gridCol w:w="4769"/>
      </w:tblGrid>
      <w:tr w:rsidR="00380612" w14:paraId="32F4E529" w14:textId="77777777" w:rsidTr="003A43D3">
        <w:tc>
          <w:tcPr>
            <w:tcW w:w="5070" w:type="dxa"/>
          </w:tcPr>
          <w:p w14:paraId="37251A23" w14:textId="61C285FE" w:rsidR="00380612" w:rsidRDefault="00380612" w:rsidP="00992085">
            <w:pPr>
              <w:adjustRightInd w:val="0"/>
              <w:snapToGrid w:val="0"/>
              <w:spacing w:line="280" w:lineRule="exact"/>
              <w:rPr>
                <w:color w:val="000000" w:themeColor="text1"/>
                <w:lang w:val="de-DE"/>
              </w:rPr>
            </w:pPr>
            <w:r>
              <w:rPr>
                <w:lang w:val="de-DE"/>
              </w:rPr>
              <w:t>(Spalte 631:) Wenn von der Musik als einer selbstständigen Kunst die Rede ist, sollte immer nur die Instrumental-Musik gem</w:t>
            </w:r>
            <w:r w:rsidRPr="00A5688D">
              <w:rPr>
                <w:color w:val="000000" w:themeColor="text1"/>
                <w:lang w:val="de-DE"/>
              </w:rPr>
              <w:t xml:space="preserve">eint </w:t>
            </w:r>
            <w:proofErr w:type="spellStart"/>
            <w:r w:rsidRPr="00A5688D">
              <w:rPr>
                <w:color w:val="000000" w:themeColor="text1"/>
                <w:lang w:val="de-DE"/>
              </w:rPr>
              <w:t>seyn</w:t>
            </w:r>
            <w:proofErr w:type="spellEnd"/>
            <w:r w:rsidRPr="00A5688D">
              <w:rPr>
                <w:color w:val="000000" w:themeColor="text1"/>
                <w:lang w:val="de-DE"/>
              </w:rPr>
              <w:t xml:space="preserve">, welche, jede Hülfe, jede </w:t>
            </w:r>
            <w:proofErr w:type="spellStart"/>
            <w:r w:rsidRPr="00A5688D">
              <w:rPr>
                <w:color w:val="000000" w:themeColor="text1"/>
                <w:lang w:val="de-DE"/>
              </w:rPr>
              <w:t>Beymischung</w:t>
            </w:r>
            <w:proofErr w:type="spellEnd"/>
            <w:r w:rsidRPr="00A5688D">
              <w:rPr>
                <w:color w:val="000000" w:themeColor="text1"/>
                <w:lang w:val="de-DE"/>
              </w:rPr>
              <w:t xml:space="preserve"> einer andern Kunst verschmähend, das </w:t>
            </w:r>
            <w:proofErr w:type="spellStart"/>
            <w:r w:rsidRPr="00A5688D">
              <w:rPr>
                <w:color w:val="000000" w:themeColor="text1"/>
                <w:lang w:val="de-DE"/>
              </w:rPr>
              <w:t>eigenthümliche</w:t>
            </w:r>
            <w:proofErr w:type="spellEnd"/>
            <w:r w:rsidRPr="00A5688D">
              <w:rPr>
                <w:color w:val="000000" w:themeColor="text1"/>
                <w:lang w:val="de-DE"/>
              </w:rPr>
              <w:t xml:space="preserve">, nur in ihr zu erkennende Wesen der Kunst rein ausspricht. Sie ist die </w:t>
            </w:r>
            <w:r>
              <w:rPr>
                <w:lang w:val="de-DE"/>
              </w:rPr>
              <w:t xml:space="preserve">romantischste aller Künste, — fast möchte man sagen, allein </w:t>
            </w:r>
            <w:r>
              <w:rPr>
                <w:i/>
                <w:lang w:val="de-DE"/>
              </w:rPr>
              <w:t>rein</w:t>
            </w:r>
            <w:r>
              <w:rPr>
                <w:lang w:val="de-DE"/>
              </w:rPr>
              <w:t xml:space="preserve"> romantisch. — Orpheus Lyra öffnete die Thore des Orcus.</w:t>
            </w:r>
          </w:p>
        </w:tc>
        <w:tc>
          <w:tcPr>
            <w:tcW w:w="4769" w:type="dxa"/>
          </w:tcPr>
          <w:p w14:paraId="25687247" w14:textId="2E8FA7B1" w:rsidR="00380612" w:rsidRDefault="00380612" w:rsidP="00992085">
            <w:pPr>
              <w:adjustRightInd w:val="0"/>
              <w:snapToGrid w:val="0"/>
              <w:spacing w:line="320" w:lineRule="exact"/>
              <w:rPr>
                <w:color w:val="000000" w:themeColor="text1"/>
                <w:lang w:val="de-DE"/>
              </w:rPr>
            </w:pPr>
            <w:r>
              <w:rPr>
                <w:rFonts w:hint="eastAsia"/>
                <w:lang w:val="de-DE"/>
              </w:rPr>
              <w:t>音楽を自立</w:t>
            </w:r>
            <w:r w:rsidRPr="00A5688D">
              <w:rPr>
                <w:rFonts w:hint="eastAsia"/>
                <w:color w:val="000000" w:themeColor="text1"/>
                <w:lang w:val="de-DE"/>
              </w:rPr>
              <w:t>した芸術として論じる場合、それはただ器楽のみの話にならなければならない。というのも器楽は、他の芸術から助けを受けること、あるいはそれと混じり合うことを受け付けず、音楽独自の、音楽の中にしか発見できないその本質を純粋に表明するからである。音楽は全ての芸術の中で一番ロマン的である―音楽だけが</w:t>
            </w:r>
            <w:r w:rsidRPr="00A5688D">
              <w:rPr>
                <w:rFonts w:hint="eastAsia"/>
                <w:color w:val="000000" w:themeColor="text1"/>
                <w:em w:val="dot"/>
                <w:lang w:val="de-DE"/>
              </w:rPr>
              <w:t>純粋に</w:t>
            </w:r>
            <w:r w:rsidRPr="00A5688D">
              <w:rPr>
                <w:rFonts w:hint="eastAsia"/>
                <w:color w:val="000000" w:themeColor="text1"/>
                <w:lang w:val="de-DE"/>
              </w:rPr>
              <w:t>ロマン的だと言っ</w:t>
            </w:r>
            <w:r>
              <w:rPr>
                <w:rFonts w:hint="eastAsia"/>
                <w:lang w:val="de-DE"/>
              </w:rPr>
              <w:t>てもよいかもしれない―。オルペウスの</w:t>
            </w:r>
            <w:r>
              <w:rPr>
                <w:lang w:val="de-DE"/>
              </w:rPr>
              <w:fldChar w:fldCharType="begin"/>
            </w:r>
            <w:r>
              <w:rPr>
                <w:lang w:val="de-DE"/>
              </w:rPr>
              <w:instrText>EQ \* jc2 \* "Font:</w:instrText>
            </w:r>
            <w:r>
              <w:rPr>
                <w:lang w:val="de-DE"/>
              </w:rPr>
              <w:instrText>ＭＳ</w:instrText>
            </w:r>
            <w:r>
              <w:rPr>
                <w:lang w:val="de-DE"/>
              </w:rPr>
              <w:instrText xml:space="preserve"> </w:instrText>
            </w:r>
            <w:r>
              <w:rPr>
                <w:lang w:val="de-DE"/>
              </w:rPr>
              <w:instrText>明朝</w:instrText>
            </w:r>
            <w:r>
              <w:rPr>
                <w:lang w:val="de-DE"/>
              </w:rPr>
              <w:instrText>" \* hps12 \o\ad(\s\up 11(</w:instrText>
            </w:r>
            <w:r w:rsidRPr="00094007">
              <w:rPr>
                <w:rFonts w:ascii="ＭＳ 明朝" w:hAnsi="ＭＳ 明朝" w:hint="eastAsia"/>
                <w:sz w:val="12"/>
                <w:lang w:val="de-DE"/>
              </w:rPr>
              <w:instrText>リュラ</w:instrText>
            </w:r>
            <w:r>
              <w:rPr>
                <w:lang w:val="de-DE"/>
              </w:rPr>
              <w:instrText>),</w:instrText>
            </w:r>
            <w:r>
              <w:rPr>
                <w:rFonts w:hint="eastAsia"/>
                <w:lang w:val="de-DE"/>
              </w:rPr>
              <w:instrText>琴</w:instrText>
            </w:r>
            <w:r>
              <w:rPr>
                <w:lang w:val="de-DE"/>
              </w:rPr>
              <w:instrText>)</w:instrText>
            </w:r>
            <w:r>
              <w:rPr>
                <w:lang w:val="de-DE"/>
              </w:rPr>
              <w:fldChar w:fldCharType="end"/>
            </w:r>
            <w:r>
              <w:rPr>
                <w:rFonts w:hint="eastAsia"/>
                <w:lang w:val="de-DE"/>
              </w:rPr>
              <w:t>が</w:t>
            </w:r>
            <w:r>
              <w:rPr>
                <w:lang w:val="de-DE"/>
              </w:rPr>
              <w:fldChar w:fldCharType="begin"/>
            </w:r>
            <w:r>
              <w:rPr>
                <w:lang w:val="de-DE"/>
              </w:rPr>
              <w:instrText>EQ \* jc2 \* "Font:</w:instrText>
            </w:r>
            <w:r>
              <w:rPr>
                <w:lang w:val="de-DE"/>
              </w:rPr>
              <w:instrText>ＭＳ</w:instrText>
            </w:r>
            <w:r>
              <w:rPr>
                <w:lang w:val="de-DE"/>
              </w:rPr>
              <w:instrText xml:space="preserve"> </w:instrText>
            </w:r>
            <w:r>
              <w:rPr>
                <w:lang w:val="de-DE"/>
              </w:rPr>
              <w:instrText>明朝</w:instrText>
            </w:r>
            <w:r>
              <w:rPr>
                <w:lang w:val="de-DE"/>
              </w:rPr>
              <w:instrText>" \* hps12 \o\ad(\s\up 11(</w:instrText>
            </w:r>
            <w:r w:rsidRPr="00094007">
              <w:rPr>
                <w:rFonts w:ascii="ＭＳ 明朝" w:hAnsi="ＭＳ 明朝" w:hint="eastAsia"/>
                <w:sz w:val="12"/>
                <w:lang w:val="de-DE"/>
              </w:rPr>
              <w:instrText>オルクス</w:instrText>
            </w:r>
            <w:r>
              <w:rPr>
                <w:lang w:val="de-DE"/>
              </w:rPr>
              <w:instrText>),</w:instrText>
            </w:r>
            <w:r>
              <w:rPr>
                <w:rFonts w:hint="eastAsia"/>
                <w:lang w:val="de-DE"/>
              </w:rPr>
              <w:instrText>冥界</w:instrText>
            </w:r>
            <w:r>
              <w:rPr>
                <w:lang w:val="de-DE"/>
              </w:rPr>
              <w:instrText>)</w:instrText>
            </w:r>
            <w:r>
              <w:rPr>
                <w:lang w:val="de-DE"/>
              </w:rPr>
              <w:fldChar w:fldCharType="end"/>
            </w:r>
            <w:r>
              <w:rPr>
                <w:rFonts w:hint="eastAsia"/>
                <w:lang w:val="de-DE"/>
              </w:rPr>
              <w:t>の門を開いたのだ。</w:t>
            </w:r>
          </w:p>
        </w:tc>
      </w:tr>
      <w:tr w:rsidR="00380612" w14:paraId="3F9BFB13" w14:textId="77777777" w:rsidTr="003A43D3">
        <w:tc>
          <w:tcPr>
            <w:tcW w:w="5070" w:type="dxa"/>
          </w:tcPr>
          <w:p w14:paraId="780827CA" w14:textId="654EA92E" w:rsidR="00380612" w:rsidRDefault="00380612" w:rsidP="00380612">
            <w:pPr>
              <w:adjustRightInd w:val="0"/>
              <w:snapToGrid w:val="0"/>
              <w:rPr>
                <w:color w:val="000000" w:themeColor="text1"/>
                <w:lang w:val="de-DE"/>
              </w:rPr>
            </w:pPr>
            <w:r>
              <w:rPr>
                <w:lang w:val="de-DE"/>
              </w:rPr>
              <w:t>(Spalte 633:) Beethoven ist ein rein roman</w:t>
            </w:r>
            <w:r>
              <w:rPr>
                <w:lang w:val="de-DE"/>
              </w:rPr>
              <w:softHyphen/>
              <w:t>tischer (eben deshalb ein wahrhaft mu</w:t>
            </w:r>
            <w:r>
              <w:rPr>
                <w:lang w:val="de-DE"/>
              </w:rPr>
              <w:softHyphen/>
              <w:t xml:space="preserve">sikalischer) </w:t>
            </w:r>
            <w:proofErr w:type="spellStart"/>
            <w:r>
              <w:rPr>
                <w:lang w:val="de-DE"/>
              </w:rPr>
              <w:t>Componist</w:t>
            </w:r>
            <w:proofErr w:type="spellEnd"/>
            <w:r>
              <w:rPr>
                <w:lang w:val="de-DE"/>
              </w:rPr>
              <w:t xml:space="preserve">, und daher mag es kommen, dass ihm </w:t>
            </w:r>
            <w:proofErr w:type="spellStart"/>
            <w:r>
              <w:rPr>
                <w:lang w:val="de-DE"/>
              </w:rPr>
              <w:t>Vocal</w:t>
            </w:r>
            <w:proofErr w:type="spellEnd"/>
            <w:r>
              <w:rPr>
                <w:lang w:val="de-DE"/>
              </w:rPr>
              <w:t>-Musik, die un</w:t>
            </w:r>
            <w:r>
              <w:rPr>
                <w:lang w:val="de-DE"/>
              </w:rPr>
              <w:softHyphen/>
              <w:t>be</w:t>
            </w:r>
            <w:r>
              <w:rPr>
                <w:lang w:val="de-DE"/>
              </w:rPr>
              <w:softHyphen/>
              <w:t xml:space="preserve">stimmtes Sehnen nicht zulässt, sondern nur die durch Worte bezeichneten </w:t>
            </w:r>
            <w:proofErr w:type="spellStart"/>
            <w:r>
              <w:rPr>
                <w:lang w:val="de-DE"/>
              </w:rPr>
              <w:t>Af</w:t>
            </w:r>
            <w:r>
              <w:rPr>
                <w:lang w:val="de-DE"/>
              </w:rPr>
              <w:softHyphen/>
              <w:t>fec</w:t>
            </w:r>
            <w:r>
              <w:rPr>
                <w:lang w:val="de-DE"/>
              </w:rPr>
              <w:softHyphen/>
              <w:t>te</w:t>
            </w:r>
            <w:proofErr w:type="spellEnd"/>
            <w:r>
              <w:rPr>
                <w:lang w:val="de-DE"/>
              </w:rPr>
              <w:t>, als in dem Reich des Unendlichen empfunden, dar</w:t>
            </w:r>
            <w:r>
              <w:rPr>
                <w:lang w:val="de-DE"/>
              </w:rPr>
              <w:softHyphen/>
              <w:t>stellt, weniger gelingt und seine Instru</w:t>
            </w:r>
            <w:r>
              <w:rPr>
                <w:lang w:val="de-DE"/>
              </w:rPr>
              <w:softHyphen/>
              <w:t>men</w:t>
            </w:r>
            <w:r>
              <w:rPr>
                <w:lang w:val="de-DE"/>
              </w:rPr>
              <w:softHyphen/>
              <w:t>tal-Musik selten die Men</w:t>
            </w:r>
            <w:r>
              <w:rPr>
                <w:lang w:val="de-DE"/>
              </w:rPr>
              <w:softHyphen/>
              <w:t>ge anspricht. Eben diese in Beethovens Tie</w:t>
            </w:r>
            <w:r>
              <w:rPr>
                <w:lang w:val="de-DE"/>
              </w:rPr>
              <w:softHyphen/>
              <w:t>fe nicht ein</w:t>
            </w:r>
            <w:r>
              <w:rPr>
                <w:lang w:val="de-DE"/>
              </w:rPr>
              <w:softHyphen/>
              <w:t>ge</w:t>
            </w:r>
            <w:r>
              <w:rPr>
                <w:lang w:val="de-DE"/>
              </w:rPr>
              <w:softHyphen/>
              <w:t>hen</w:t>
            </w:r>
            <w:r>
              <w:rPr>
                <w:lang w:val="de-DE"/>
              </w:rPr>
              <w:softHyphen/>
              <w:t xml:space="preserve">de Menge spricht ihm einen hohen </w:t>
            </w:r>
            <w:r>
              <w:rPr>
                <w:lang w:val="de-DE"/>
              </w:rPr>
              <w:lastRenderedPageBreak/>
              <w:t>Grad von Phantasie nicht ab; dagegen sieht man gewöhnlich in seinen Wer</w:t>
            </w:r>
            <w:r>
              <w:rPr>
                <w:lang w:val="de-DE"/>
              </w:rPr>
              <w:softHyphen/>
              <w:t xml:space="preserve">ken nur </w:t>
            </w:r>
            <w:proofErr w:type="spellStart"/>
            <w:r>
              <w:rPr>
                <w:lang w:val="de-DE"/>
              </w:rPr>
              <w:t>Producte</w:t>
            </w:r>
            <w:proofErr w:type="spellEnd"/>
            <w:r>
              <w:rPr>
                <w:lang w:val="de-DE"/>
              </w:rPr>
              <w:t xml:space="preserve"> eines </w:t>
            </w:r>
            <w:proofErr w:type="spellStart"/>
            <w:r>
              <w:rPr>
                <w:lang w:val="de-DE"/>
              </w:rPr>
              <w:t>Genie’s</w:t>
            </w:r>
            <w:proofErr w:type="spellEnd"/>
            <w:r>
              <w:rPr>
                <w:lang w:val="de-DE"/>
              </w:rPr>
              <w:t xml:space="preserve"> das, um Form und Auswahl der Gedanken un</w:t>
            </w:r>
            <w:r>
              <w:rPr>
                <w:lang w:val="de-DE"/>
              </w:rPr>
              <w:softHyphen/>
              <w:t>be</w:t>
            </w:r>
            <w:r>
              <w:rPr>
                <w:lang w:val="de-DE"/>
              </w:rPr>
              <w:softHyphen/>
              <w:t>sorgt, sich seinem Feuer und den au</w:t>
            </w:r>
            <w:r>
              <w:rPr>
                <w:lang w:val="de-DE"/>
              </w:rPr>
              <w:softHyphen/>
              <w:t>gen</w:t>
            </w:r>
            <w:r>
              <w:rPr>
                <w:lang w:val="de-DE"/>
              </w:rPr>
              <w:softHyphen/>
              <w:t>blicklichen Eingebungen sei</w:t>
            </w:r>
            <w:r>
              <w:rPr>
                <w:lang w:val="de-DE"/>
              </w:rPr>
              <w:softHyphen/>
              <w:t>ner Einbil</w:t>
            </w:r>
            <w:r>
              <w:rPr>
                <w:lang w:val="de-DE"/>
              </w:rPr>
              <w:softHyphen/>
              <w:t>dungs</w:t>
            </w:r>
            <w:r>
              <w:rPr>
                <w:lang w:val="de-DE"/>
              </w:rPr>
              <w:softHyphen/>
              <w:t xml:space="preserve">kraft </w:t>
            </w:r>
            <w:proofErr w:type="spellStart"/>
            <w:r>
              <w:rPr>
                <w:lang w:val="de-DE"/>
              </w:rPr>
              <w:t>überliess</w:t>
            </w:r>
            <w:proofErr w:type="spellEnd"/>
            <w:r>
              <w:rPr>
                <w:lang w:val="de-DE"/>
              </w:rPr>
              <w:t>. Nichts desto weni</w:t>
            </w:r>
            <w:r>
              <w:rPr>
                <w:lang w:val="de-DE"/>
              </w:rPr>
              <w:softHyphen/>
              <w:t xml:space="preserve">ger ist er, </w:t>
            </w:r>
            <w:proofErr w:type="spellStart"/>
            <w:r>
              <w:rPr>
                <w:lang w:val="de-DE"/>
              </w:rPr>
              <w:t>Rücksichts</w:t>
            </w:r>
            <w:proofErr w:type="spellEnd"/>
            <w:r>
              <w:rPr>
                <w:lang w:val="de-DE"/>
              </w:rPr>
              <w:t xml:space="preserve"> der Besonnen</w:t>
            </w:r>
            <w:r>
              <w:rPr>
                <w:lang w:val="de-DE"/>
              </w:rPr>
              <w:softHyphen/>
              <w:t>heit, Haydn und Mozart ganz an die Seite zu stellen.</w:t>
            </w:r>
          </w:p>
        </w:tc>
        <w:tc>
          <w:tcPr>
            <w:tcW w:w="4769" w:type="dxa"/>
          </w:tcPr>
          <w:p w14:paraId="6BEB5EAD" w14:textId="19B3E716" w:rsidR="00380612" w:rsidRDefault="00380612" w:rsidP="00380612">
            <w:pPr>
              <w:adjustRightInd w:val="0"/>
              <w:snapToGrid w:val="0"/>
              <w:rPr>
                <w:color w:val="000000" w:themeColor="text1"/>
                <w:lang w:val="de-DE"/>
              </w:rPr>
            </w:pPr>
            <w:r w:rsidRPr="00A5688D">
              <w:rPr>
                <w:rFonts w:hint="eastAsia"/>
                <w:color w:val="000000" w:themeColor="text1"/>
                <w:lang w:val="de-DE"/>
              </w:rPr>
              <w:lastRenderedPageBreak/>
              <w:t>ベートーフェンは純粋にロマン的な（従って真に音楽的な）作曲家だ。だからかもしれないが、声楽、つまり具体性に欠ける憧憬を許さず、ただ言葉に特定された激情を無窮の世界で感じ取ったものとして描く声楽がベートーフェンはあまり得意ではないし、また彼の器楽曲も、大衆に話しかけるのは稀だ。ベートーフェンの深いところに立ち入らないこの大衆はベートーフェンが高度な想像力（</w:t>
            </w:r>
            <w:r w:rsidRPr="00A5688D">
              <w:rPr>
                <w:color w:val="000000" w:themeColor="text1"/>
                <w:lang w:val="de-DE"/>
              </w:rPr>
              <w:t>Fantasie</w:t>
            </w:r>
            <w:r w:rsidRPr="00A5688D">
              <w:rPr>
                <w:rFonts w:hint="eastAsia"/>
                <w:color w:val="000000" w:themeColor="text1"/>
                <w:lang w:val="de-DE"/>
              </w:rPr>
              <w:t>）を持っていないとは思っていない。しかし、一般的に彼の作品は形式や主題</w:t>
            </w:r>
            <w:r w:rsidRPr="00A5688D">
              <w:rPr>
                <w:rFonts w:hint="eastAsia"/>
                <w:color w:val="000000" w:themeColor="text1"/>
                <w:lang w:val="de-DE"/>
              </w:rPr>
              <w:lastRenderedPageBreak/>
              <w:t>の選択を気にせず、ただ自分の情熱やその瞬間の霊感に漂った天才の創造物と思われている。それにも拘わらず、彼は思慮深さに関してハイドンとモーツァルトと同等に並ぶと言わなければならない。</w:t>
            </w:r>
          </w:p>
        </w:tc>
      </w:tr>
      <w:tr w:rsidR="00380612" w14:paraId="21B4EBDD" w14:textId="77777777" w:rsidTr="003A43D3">
        <w:tc>
          <w:tcPr>
            <w:tcW w:w="5070" w:type="dxa"/>
          </w:tcPr>
          <w:p w14:paraId="5DFBD4DA" w14:textId="0D15E2BF" w:rsidR="00380612" w:rsidRDefault="00380612" w:rsidP="00380612">
            <w:pPr>
              <w:adjustRightInd w:val="0"/>
              <w:snapToGrid w:val="0"/>
              <w:rPr>
                <w:color w:val="000000" w:themeColor="text1"/>
                <w:lang w:val="de-DE"/>
              </w:rPr>
            </w:pPr>
            <w:r>
              <w:rPr>
                <w:color w:val="000000" w:themeColor="text1"/>
                <w:lang w:val="de-DE"/>
              </w:rPr>
              <w:lastRenderedPageBreak/>
              <w:t xml:space="preserve">(Spalte 640:) </w:t>
            </w:r>
            <w:r w:rsidRPr="00A5688D">
              <w:rPr>
                <w:color w:val="000000" w:themeColor="text1"/>
                <w:lang w:val="de-DE"/>
              </w:rPr>
              <w:t xml:space="preserve">Es </w:t>
            </w:r>
            <w:proofErr w:type="spellStart"/>
            <w:r w:rsidRPr="00A5688D">
              <w:rPr>
                <w:color w:val="000000" w:themeColor="text1"/>
                <w:lang w:val="de-DE"/>
              </w:rPr>
              <w:t>giebt</w:t>
            </w:r>
            <w:proofErr w:type="spellEnd"/>
            <w:r w:rsidRPr="00A5688D">
              <w:rPr>
                <w:color w:val="000000" w:themeColor="text1"/>
                <w:lang w:val="de-DE"/>
              </w:rPr>
              <w:t xml:space="preserve"> keinen einfacheren Gedanken, als den, welchen der Meister [Beethoven] dem </w:t>
            </w:r>
            <w:r>
              <w:rPr>
                <w:lang w:val="de-DE"/>
              </w:rPr>
              <w:t>ganzen Allegro zum Grun</w:t>
            </w:r>
            <w:r>
              <w:rPr>
                <w:lang w:val="de-DE"/>
              </w:rPr>
              <w:softHyphen/>
              <w:t>de legte</w:t>
            </w:r>
            <w:r w:rsidRPr="000412E6">
              <w:rPr>
                <w:noProof/>
                <w:position w:val="-14"/>
              </w:rPr>
              <w:drawing>
                <wp:inline distT="0" distB="0" distL="0" distR="0" wp14:anchorId="028B7A8C" wp14:editId="3BE8F206">
                  <wp:extent cx="1111250" cy="31115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Pr>
                <w:lang w:val="de-DE"/>
              </w:rPr>
              <w:t>und mit Be</w:t>
            </w:r>
            <w:r>
              <w:rPr>
                <w:lang w:val="de-DE"/>
              </w:rPr>
              <w:softHyphen/>
              <w:t>wun</w:t>
            </w:r>
            <w:r>
              <w:rPr>
                <w:lang w:val="de-DE"/>
              </w:rPr>
              <w:softHyphen/>
              <w:t>de</w:t>
            </w:r>
            <w:r>
              <w:rPr>
                <w:lang w:val="de-DE"/>
              </w:rPr>
              <w:softHyphen/>
            </w:r>
            <w:r>
              <w:rPr>
                <w:lang w:val="de-DE"/>
              </w:rPr>
              <w:softHyphen/>
              <w:t>rung wird man gewahr, wie er alle Ne</w:t>
            </w:r>
            <w:r>
              <w:rPr>
                <w:lang w:val="de-DE"/>
              </w:rPr>
              <w:softHyphen/>
              <w:t>ben</w:t>
            </w:r>
            <w:r>
              <w:rPr>
                <w:lang w:val="de-DE"/>
              </w:rPr>
              <w:softHyphen/>
              <w:t>gedanken, alle Zwischengedanken, durch rhythmischen Verhalt jenem einfa</w:t>
            </w:r>
            <w:r>
              <w:rPr>
                <w:lang w:val="de-DE"/>
              </w:rPr>
              <w:softHyphen/>
              <w:t>chen Thema so anzureihen wusste, dass sie nur dazu dienten, den Charakter des Gan</w:t>
            </w:r>
            <w:r>
              <w:rPr>
                <w:lang w:val="de-DE"/>
              </w:rPr>
              <w:softHyphen/>
              <w:t>zen, den jenes Thema nur andeuten konnte, immer mehr und mehr zu entfalten.</w:t>
            </w:r>
          </w:p>
        </w:tc>
        <w:tc>
          <w:tcPr>
            <w:tcW w:w="4769" w:type="dxa"/>
          </w:tcPr>
          <w:p w14:paraId="21219DF1" w14:textId="5F4319A1" w:rsidR="00380612" w:rsidRDefault="00380612" w:rsidP="00380612">
            <w:pPr>
              <w:adjustRightInd w:val="0"/>
              <w:snapToGrid w:val="0"/>
              <w:rPr>
                <w:color w:val="000000" w:themeColor="text1"/>
                <w:lang w:val="de-DE"/>
              </w:rPr>
            </w:pPr>
            <w:r w:rsidRPr="00A5688D">
              <w:rPr>
                <w:rFonts w:hint="eastAsia"/>
                <w:color w:val="000000" w:themeColor="text1"/>
                <w:lang w:val="de-DE"/>
              </w:rPr>
              <w:t>ベートーフェンがこのアレグロの基礎に置いた着想（モチーフ）</w:t>
            </w:r>
            <w:r w:rsidRPr="00A5688D">
              <w:rPr>
                <w:noProof/>
                <w:color w:val="000000" w:themeColor="text1"/>
                <w:position w:val="-14"/>
              </w:rPr>
              <w:drawing>
                <wp:inline distT="0" distB="0" distL="0" distR="0" wp14:anchorId="2C3B29A1" wp14:editId="74B8CDCB">
                  <wp:extent cx="1111250" cy="311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sidRPr="00A5688D">
              <w:rPr>
                <w:rFonts w:hint="eastAsia"/>
                <w:color w:val="000000" w:themeColor="text1"/>
                <w:lang w:val="de-DE"/>
              </w:rPr>
              <w:t>より簡潔なものはないだろう。そして彼が全ての従属的着想、全ての途中の着想をこの簡潔な主題に対して対比的な関係でつなげており、それは各着想が曖昧にしか表現できなかった全体の性格を徐々に展開するために導入されているだけだということに、私たちは魅了されるのである。</w:t>
            </w:r>
          </w:p>
        </w:tc>
      </w:tr>
    </w:tbl>
    <w:p w14:paraId="27123D70" w14:textId="77777777" w:rsidR="003A43D3" w:rsidRDefault="00307E43" w:rsidP="003A43D3">
      <w:pPr>
        <w:adjustRightInd w:val="0"/>
        <w:snapToGrid w:val="0"/>
        <w:ind w:left="1701" w:hanging="1701"/>
        <w:jc w:val="left"/>
        <w:rPr>
          <w:color w:val="000000" w:themeColor="text1"/>
          <w:lang w:val="de-DE"/>
        </w:rPr>
      </w:pPr>
      <w:r>
        <w:rPr>
          <w:rFonts w:hint="eastAsia"/>
          <w:color w:val="000000" w:themeColor="text1"/>
          <w:lang w:val="de-DE"/>
        </w:rPr>
        <w:t>原文へのリンク</w:t>
      </w:r>
      <w:r w:rsidR="00203AAF">
        <w:rPr>
          <w:color w:val="000000" w:themeColor="text1"/>
          <w:lang w:val="de-DE"/>
        </w:rPr>
        <w:tab/>
      </w:r>
      <w:hyperlink r:id="rId8" w:history="1">
        <w:r w:rsidR="00203AAF" w:rsidRPr="00203AAF">
          <w:rPr>
            <w:rStyle w:val="a3"/>
            <w:lang w:val="de-DE"/>
          </w:rPr>
          <w:t>http://deutsch.c.u-tokyo.ac.jp/~Gottschewski/gaidai/2013/131129/ Allgemeine_musikalische_Zeitung 12_1809-10.pdf</w:t>
        </w:r>
      </w:hyperlink>
    </w:p>
    <w:p w14:paraId="7EA8759D" w14:textId="77777777" w:rsidR="003A43D3" w:rsidRDefault="003A43D3" w:rsidP="003A43D3">
      <w:pPr>
        <w:adjustRightInd w:val="0"/>
        <w:snapToGrid w:val="0"/>
        <w:ind w:left="1701" w:hanging="1701"/>
        <w:jc w:val="left"/>
        <w:rPr>
          <w:color w:val="000000" w:themeColor="text1"/>
          <w:lang w:val="de-DE"/>
        </w:rPr>
      </w:pPr>
    </w:p>
    <w:p w14:paraId="2959D5BE" w14:textId="01CBB341" w:rsidR="00380612" w:rsidRDefault="00380612" w:rsidP="003A43D3">
      <w:pPr>
        <w:adjustRightInd w:val="0"/>
        <w:snapToGrid w:val="0"/>
        <w:ind w:left="1701" w:hanging="1701"/>
        <w:jc w:val="left"/>
        <w:rPr>
          <w:color w:val="000000" w:themeColor="text1"/>
          <w:lang w:val="de-DE"/>
        </w:rPr>
      </w:pPr>
      <w:r>
        <w:rPr>
          <w:rFonts w:hint="eastAsia"/>
          <w:color w:val="000000" w:themeColor="text1"/>
          <w:lang w:val="de-DE"/>
        </w:rPr>
        <w:t>テキスト②</w:t>
      </w:r>
      <w:r w:rsidR="00DF4AAD">
        <w:rPr>
          <w:rFonts w:hint="eastAsia"/>
          <w:color w:val="000000" w:themeColor="text1"/>
          <w:lang w:val="de-DE"/>
        </w:rPr>
        <w:t xml:space="preserve">　ハンスリック『音楽美論』より、第３章の冒頭部</w:t>
      </w:r>
    </w:p>
    <w:tbl>
      <w:tblPr>
        <w:tblStyle w:val="ad"/>
        <w:tblW w:w="0" w:type="auto"/>
        <w:tblLook w:val="04A0" w:firstRow="1" w:lastRow="0" w:firstColumn="1" w:lastColumn="0" w:noHBand="0" w:noVBand="1"/>
      </w:tblPr>
      <w:tblGrid>
        <w:gridCol w:w="4274"/>
        <w:gridCol w:w="5579"/>
      </w:tblGrid>
      <w:tr w:rsidR="009A0E79" w14:paraId="1D3268C3" w14:textId="77777777" w:rsidTr="009A0E79">
        <w:tc>
          <w:tcPr>
            <w:tcW w:w="4256" w:type="dxa"/>
          </w:tcPr>
          <w:p w14:paraId="77CBA121" w14:textId="4F0F2570" w:rsidR="009A0E79" w:rsidRDefault="009A0E79" w:rsidP="009A0E79">
            <w:pPr>
              <w:adjustRightInd w:val="0"/>
              <w:snapToGrid w:val="0"/>
              <w:rPr>
                <w:color w:val="000000" w:themeColor="text1"/>
                <w:lang w:val="de-DE"/>
              </w:rPr>
            </w:pPr>
            <w:r>
              <w:rPr>
                <w:rFonts w:asciiTheme="minorEastAsia" w:hAnsiTheme="minorEastAsia" w:cs="ヒラギノ角ゴ ProN W3" w:hint="eastAsia"/>
                <w:noProof/>
                <w:szCs w:val="26"/>
              </w:rPr>
              <w:drawing>
                <wp:inline distT="0" distB="0" distL="0" distR="0" wp14:anchorId="4142C372" wp14:editId="78479A71">
                  <wp:extent cx="2576880" cy="3092576"/>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jpg"/>
                          <pic:cNvPicPr/>
                        </pic:nvPicPr>
                        <pic:blipFill>
                          <a:blip r:embed="rId9">
                            <a:extLst>
                              <a:ext uri="{28A0092B-C50C-407E-A947-70E740481C1C}">
                                <a14:useLocalDpi xmlns:a14="http://schemas.microsoft.com/office/drawing/2010/main" val="0"/>
                              </a:ext>
                            </a:extLst>
                          </a:blip>
                          <a:stretch>
                            <a:fillRect/>
                          </a:stretch>
                        </pic:blipFill>
                        <pic:spPr>
                          <a:xfrm>
                            <a:off x="0" y="0"/>
                            <a:ext cx="2576880" cy="3092576"/>
                          </a:xfrm>
                          <a:prstGeom prst="rect">
                            <a:avLst/>
                          </a:prstGeom>
                        </pic:spPr>
                      </pic:pic>
                    </a:graphicData>
                  </a:graphic>
                </wp:inline>
              </w:drawing>
            </w:r>
            <w:r>
              <w:rPr>
                <w:rFonts w:asciiTheme="minorEastAsia" w:hAnsiTheme="minorEastAsia" w:cs="ヒラギノ角ゴ ProN W3" w:hint="eastAsia"/>
                <w:noProof/>
                <w:szCs w:val="26"/>
              </w:rPr>
              <w:drawing>
                <wp:inline distT="0" distB="0" distL="0" distR="0" wp14:anchorId="110466D5" wp14:editId="28944493">
                  <wp:extent cx="2576880" cy="201288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pdf” 미리보기.jpg"/>
                          <pic:cNvPicPr/>
                        </pic:nvPicPr>
                        <pic:blipFill>
                          <a:blip r:embed="rId10">
                            <a:extLst>
                              <a:ext uri="{28A0092B-C50C-407E-A947-70E740481C1C}">
                                <a14:useLocalDpi xmlns:a14="http://schemas.microsoft.com/office/drawing/2010/main" val="0"/>
                              </a:ext>
                            </a:extLst>
                          </a:blip>
                          <a:stretch>
                            <a:fillRect/>
                          </a:stretch>
                        </pic:blipFill>
                        <pic:spPr>
                          <a:xfrm>
                            <a:off x="0" y="0"/>
                            <a:ext cx="2576880" cy="2012884"/>
                          </a:xfrm>
                          <a:prstGeom prst="rect">
                            <a:avLst/>
                          </a:prstGeom>
                        </pic:spPr>
                      </pic:pic>
                    </a:graphicData>
                  </a:graphic>
                </wp:inline>
              </w:drawing>
            </w:r>
          </w:p>
        </w:tc>
        <w:tc>
          <w:tcPr>
            <w:tcW w:w="5579" w:type="dxa"/>
          </w:tcPr>
          <w:p w14:paraId="7F8B4728" w14:textId="073FBFA1" w:rsidR="009A0E79" w:rsidRPr="009A0E79" w:rsidRDefault="002C36A8" w:rsidP="009A0E79">
            <w:pPr>
              <w:widowControl/>
              <w:autoSpaceDE w:val="0"/>
              <w:autoSpaceDN w:val="0"/>
              <w:adjustRightInd w:val="0"/>
              <w:snapToGrid w:val="0"/>
              <w:jc w:val="left"/>
              <w:rPr>
                <w:rFonts w:asciiTheme="minorEastAsia" w:hAnsiTheme="minorEastAsia" w:cs="ヒラギノ角ゴ ProN W3"/>
                <w:sz w:val="20"/>
                <w:szCs w:val="20"/>
              </w:rPr>
            </w:pPr>
            <w:r>
              <w:rPr>
                <w:rFonts w:asciiTheme="minorEastAsia" w:hAnsiTheme="minorEastAsia" w:cs="ヒラギノ角ゴ ProN W3" w:hint="eastAsia"/>
                <w:sz w:val="20"/>
                <w:szCs w:val="20"/>
              </w:rPr>
              <w:t>第３</w:t>
            </w:r>
            <w:r w:rsidR="009A0E79" w:rsidRPr="009A0E79">
              <w:rPr>
                <w:rFonts w:asciiTheme="minorEastAsia" w:hAnsiTheme="minorEastAsia" w:cs="ヒラギノ角ゴ ProN W3" w:hint="eastAsia"/>
                <w:sz w:val="20"/>
                <w:szCs w:val="20"/>
              </w:rPr>
              <w:t>章　音楽美</w:t>
            </w:r>
          </w:p>
          <w:p w14:paraId="1D35C1A5"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10"/>
                <w:szCs w:val="10"/>
              </w:rPr>
            </w:pPr>
          </w:p>
          <w:p w14:paraId="32529103"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これまで私はこの問題を消極的方面から論じて、もっぱら「音楽美は感情の描写によって成立しうる」という誤った仮定を一掃しようと努めてきたのである。</w:t>
            </w:r>
          </w:p>
          <w:p w14:paraId="2491F12A"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私はここで、「音楽美とはどんな性質のものであるか」という質問に答えて、前述の事柄に積極的な内容をみつけなければならない。</w:t>
            </w:r>
          </w:p>
          <w:p w14:paraId="0DDDA044"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美は特殊な音楽現象である。私はこれを「外部からきた内容とは独立し、またそれを必要とせず、ただ単に楽音およびその芸術的結合のうちに存在する美」という意味と理解する。それ自身魅力を持っている楽音の意味深い諸関係、その調和と軋轢、その経過と到達、その飛躍と消滅——これらのものが、自由に様々な形式によって我々の精神的まなざしの前に現れて美的満足を与えるものなのである。</w:t>
            </w:r>
          </w:p>
          <w:p w14:paraId="0A5A1989"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の根源的な要素は美しい響きであり、その本質はリズムである。リズムとは、大きく言えば均斉のとれた構造の一致であり、小さく言えば一定速度における個々の部分の法則的変換運動である。作曲家が創作に用いる素材は、全ての楽音と、その中に潜む多種多様な旋律•和声•リズムなどを構成する可能性である。その豊富さといえば、どんなに鑑賞しても飽きないほどである。この無尽蔵な旋律は第一に、音楽美の根本的形式として全体を支配する。和声は幾多の変化•転回•拡大によって常に新しい礎を提供する。この両者を結合して、音楽的生命の動機であるリズムが動き、さらに複雑な音色の美しさがこれに色彩を添えるのである。</w:t>
            </w:r>
          </w:p>
          <w:p w14:paraId="3D926586"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そこで「これらの音楽の素材によって何が表現されるべきか」と問われたならば、私は即座に「音楽的観念」であると答える。しかも完全に現象化された音楽観念はすでに独立した美、すなわちそれ自体が目的であって、決して感情および思想描写の手段または材料ではない。</w:t>
            </w:r>
          </w:p>
          <w:p w14:paraId="59F16812" w14:textId="5B61A1A9"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w:t>
            </w:r>
            <w:r w:rsidR="005F05EF" w:rsidRPr="009A0E79">
              <w:rPr>
                <w:rFonts w:asciiTheme="minorEastAsia" w:hAnsiTheme="minorEastAsia" w:cs="ヒラギノ角ゴ ProN W3" w:hint="eastAsia"/>
                <w:sz w:val="20"/>
                <w:szCs w:val="20"/>
              </w:rPr>
              <w:t>音楽の</w:t>
            </w:r>
            <w:r w:rsidR="005F05EF" w:rsidRPr="0061383E">
              <w:rPr>
                <w:rFonts w:asciiTheme="minorEastAsia" w:hAnsiTheme="minorEastAsia" w:cs="ヒラギノ角ゴ ProN W3" w:hint="eastAsia"/>
                <w:color w:val="FF0000"/>
                <w:sz w:val="20"/>
                <w:szCs w:val="20"/>
              </w:rPr>
              <w:t>内容</w:t>
            </w:r>
            <w:r w:rsidR="005F05EF">
              <w:rPr>
                <w:rFonts w:asciiTheme="minorEastAsia" w:hAnsiTheme="minorEastAsia" w:cs="ヒラギノ角ゴ ProN W3" w:hint="eastAsia"/>
                <w:color w:val="FF0000"/>
                <w:sz w:val="20"/>
                <w:szCs w:val="20"/>
              </w:rPr>
              <w:t>と</w:t>
            </w:r>
            <w:r w:rsidR="005F05EF" w:rsidRPr="0061383E">
              <w:rPr>
                <w:rFonts w:asciiTheme="minorEastAsia" w:hAnsiTheme="minorEastAsia" w:cs="ヒラギノ角ゴ ProN W3" w:hint="eastAsia"/>
                <w:color w:val="FF0000"/>
                <w:sz w:val="20"/>
                <w:szCs w:val="20"/>
              </w:rPr>
              <w:t>は</w:t>
            </w:r>
            <w:r w:rsidR="005F05EF">
              <w:rPr>
                <w:rFonts w:asciiTheme="minorEastAsia" w:hAnsiTheme="minorEastAsia" w:cs="ヒラギノ角ゴ ProN W3" w:hint="eastAsia"/>
                <w:color w:val="FF0000"/>
                <w:sz w:val="20"/>
                <w:szCs w:val="20"/>
              </w:rPr>
              <w:t>響いて動く</w:t>
            </w:r>
            <w:r w:rsidR="005F05EF" w:rsidRPr="0061383E">
              <w:rPr>
                <w:rFonts w:asciiTheme="minorEastAsia" w:hAnsiTheme="minorEastAsia" w:cs="ヒラギノ角ゴ ProN W3" w:hint="eastAsia"/>
                <w:color w:val="FF0000"/>
                <w:sz w:val="20"/>
                <w:szCs w:val="20"/>
              </w:rPr>
              <w:t>形式である</w:t>
            </w:r>
            <w:r w:rsidR="005F05EF" w:rsidRPr="009A0E79">
              <w:rPr>
                <w:rFonts w:asciiTheme="minorEastAsia" w:hAnsiTheme="minorEastAsia" w:cs="ヒラギノ角ゴ ProN W3" w:hint="eastAsia"/>
                <w:sz w:val="20"/>
                <w:szCs w:val="20"/>
              </w:rPr>
              <w:t>。</w:t>
            </w:r>
            <w:bookmarkStart w:id="0" w:name="_GoBack"/>
            <w:bookmarkEnd w:id="0"/>
          </w:p>
        </w:tc>
      </w:tr>
    </w:tbl>
    <w:p w14:paraId="4DA15C67" w14:textId="3AAF86A1" w:rsidR="00DF4AAD" w:rsidRDefault="001D50DA" w:rsidP="003A43D3">
      <w:pPr>
        <w:widowControl/>
        <w:jc w:val="left"/>
        <w:rPr>
          <w:rFonts w:asciiTheme="minorEastAsia" w:hAnsiTheme="minorEastAsia" w:cs="ヒラギノ角ゴ ProN W3"/>
          <w:szCs w:val="26"/>
          <w:lang w:val="de-DE"/>
        </w:rPr>
      </w:pPr>
      <w:r>
        <w:rPr>
          <w:rFonts w:asciiTheme="minorEastAsia" w:hAnsiTheme="minorEastAsia" w:cs="ヒラギノ角ゴ ProN W3"/>
          <w:szCs w:val="26"/>
          <w:lang w:val="de-DE"/>
        </w:rPr>
        <w:br w:type="page"/>
      </w:r>
    </w:p>
    <w:tbl>
      <w:tblPr>
        <w:tblStyle w:val="ad"/>
        <w:tblW w:w="0" w:type="auto"/>
        <w:tblLook w:val="04A0" w:firstRow="1" w:lastRow="0" w:firstColumn="1" w:lastColumn="0" w:noHBand="0" w:noVBand="1"/>
      </w:tblPr>
      <w:tblGrid>
        <w:gridCol w:w="4274"/>
        <w:gridCol w:w="5579"/>
      </w:tblGrid>
      <w:tr w:rsidR="005C20D1" w14:paraId="120223A6" w14:textId="77777777" w:rsidTr="00516CD8">
        <w:tc>
          <w:tcPr>
            <w:tcW w:w="4256" w:type="dxa"/>
          </w:tcPr>
          <w:p w14:paraId="558032B1" w14:textId="744B9E4F" w:rsidR="005C20D1" w:rsidRDefault="005C20D1"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hint="eastAsia"/>
                <w:szCs w:val="26"/>
                <w:lang w:val="de-DE"/>
              </w:rPr>
              <w:lastRenderedPageBreak/>
              <w:t>テキスト③　ヴァーグナーの『未来の芸術』より</w:t>
            </w:r>
            <w:r w:rsidR="006C4666">
              <w:rPr>
                <w:rFonts w:asciiTheme="minorEastAsia" w:hAnsiTheme="minorEastAsia" w:cs="ヒラギノ角ゴ ProN W3" w:hint="eastAsia"/>
                <w:szCs w:val="26"/>
                <w:lang w:val="de-DE"/>
              </w:rPr>
              <w:t>（</w:t>
            </w:r>
            <w:r w:rsidR="006C4666">
              <w:rPr>
                <w:rFonts w:asciiTheme="minorEastAsia" w:hAnsiTheme="minorEastAsia" w:cs="ヒラギノ角ゴ ProN W3"/>
                <w:szCs w:val="26"/>
                <w:lang w:val="de-DE"/>
              </w:rPr>
              <w:t>1850</w:t>
            </w:r>
            <w:r w:rsidR="006C4666">
              <w:rPr>
                <w:rFonts w:asciiTheme="minorEastAsia" w:hAnsiTheme="minorEastAsia" w:cs="ヒラギノ角ゴ ProN W3" w:hint="eastAsia"/>
                <w:szCs w:val="26"/>
                <w:lang w:val="de-DE"/>
              </w:rPr>
              <w:t>年ごろ発表）</w:t>
            </w:r>
          </w:p>
          <w:p w14:paraId="6590347B" w14:textId="77777777" w:rsidR="005C20D1" w:rsidRDefault="005C20D1" w:rsidP="00516CD8">
            <w:pPr>
              <w:adjustRightInd w:val="0"/>
              <w:snapToGrid w:val="0"/>
              <w:rPr>
                <w:rFonts w:asciiTheme="minorEastAsia" w:hAnsiTheme="minorEastAsia" w:cs="ヒラギノ角ゴ ProN W3"/>
                <w:szCs w:val="26"/>
                <w:lang w:val="de-DE"/>
              </w:rPr>
            </w:pPr>
          </w:p>
          <w:p w14:paraId="683A3D87" w14:textId="641B8ADB" w:rsidR="005C20D1" w:rsidRDefault="005C20D1" w:rsidP="00516CD8">
            <w:pPr>
              <w:adjustRightInd w:val="0"/>
              <w:snapToGrid w:val="0"/>
              <w:rPr>
                <w:rFonts w:ascii="Times New Roman" w:hAnsi="Times New Roman"/>
                <w:szCs w:val="26"/>
                <w:lang w:val="de-DE"/>
              </w:rPr>
            </w:pPr>
            <w:r>
              <w:rPr>
                <w:rFonts w:ascii="Times New Roman" w:hAnsi="Times New Roman"/>
                <w:szCs w:val="26"/>
                <w:lang w:val="de-DE"/>
              </w:rPr>
              <w:t xml:space="preserve">Richard </w:t>
            </w:r>
            <w:r w:rsidRPr="005C20D1">
              <w:rPr>
                <w:rFonts w:ascii="Times New Roman" w:hAnsi="Times New Roman"/>
                <w:szCs w:val="26"/>
                <w:lang w:val="de-DE"/>
              </w:rPr>
              <w:t xml:space="preserve">Wagner, </w:t>
            </w:r>
            <w:r w:rsidRPr="005C20D1">
              <w:rPr>
                <w:rFonts w:ascii="Times New Roman" w:hAnsi="Times New Roman"/>
                <w:i/>
                <w:szCs w:val="26"/>
                <w:lang w:val="de-DE"/>
              </w:rPr>
              <w:t>Gesammelte Schriften und Dichtungen</w:t>
            </w:r>
            <w:r>
              <w:rPr>
                <w:rFonts w:ascii="Times New Roman" w:hAnsi="Times New Roman"/>
                <w:szCs w:val="26"/>
                <w:lang w:val="de-DE"/>
              </w:rPr>
              <w:t>, Dritter Band, Dritte Auflage, Leipzig (ohne Jahr), S. 96</w:t>
            </w:r>
          </w:p>
          <w:p w14:paraId="0FAAE8D3" w14:textId="77777777" w:rsidR="005C20D1" w:rsidRPr="005C20D1" w:rsidRDefault="005C20D1" w:rsidP="00516CD8">
            <w:pPr>
              <w:adjustRightInd w:val="0"/>
              <w:snapToGrid w:val="0"/>
              <w:rPr>
                <w:rFonts w:ascii="Times New Roman" w:hAnsi="Times New Roman"/>
                <w:szCs w:val="26"/>
                <w:lang w:val="de-DE"/>
              </w:rPr>
            </w:pPr>
          </w:p>
          <w:p w14:paraId="26297993" w14:textId="32258C9D" w:rsidR="005C20D1" w:rsidRDefault="005C20D1" w:rsidP="00516CD8">
            <w:pPr>
              <w:adjustRightInd w:val="0"/>
              <w:snapToGrid w:val="0"/>
              <w:rPr>
                <w:color w:val="000000" w:themeColor="text1"/>
                <w:lang w:val="de-DE"/>
              </w:rPr>
            </w:pPr>
            <w:r>
              <w:rPr>
                <w:rFonts w:hint="eastAsia"/>
                <w:noProof/>
                <w:color w:val="000000" w:themeColor="text1"/>
              </w:rPr>
              <w:drawing>
                <wp:inline distT="0" distB="0" distL="0" distR="0" wp14:anchorId="47BD65E9" wp14:editId="47FB63E0">
                  <wp:extent cx="2576880" cy="3573916"/>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1.JPG"/>
                          <pic:cNvPicPr/>
                        </pic:nvPicPr>
                        <pic:blipFill>
                          <a:blip r:embed="rId11">
                            <a:extLst>
                              <a:ext uri="{28A0092B-C50C-407E-A947-70E740481C1C}">
                                <a14:useLocalDpi xmlns:a14="http://schemas.microsoft.com/office/drawing/2010/main" val="0"/>
                              </a:ext>
                            </a:extLst>
                          </a:blip>
                          <a:stretch>
                            <a:fillRect/>
                          </a:stretch>
                        </pic:blipFill>
                        <pic:spPr>
                          <a:xfrm>
                            <a:off x="0" y="0"/>
                            <a:ext cx="2576880" cy="3573916"/>
                          </a:xfrm>
                          <a:prstGeom prst="rect">
                            <a:avLst/>
                          </a:prstGeom>
                        </pic:spPr>
                      </pic:pic>
                    </a:graphicData>
                  </a:graphic>
                </wp:inline>
              </w:drawing>
            </w:r>
          </w:p>
        </w:tc>
        <w:tc>
          <w:tcPr>
            <w:tcW w:w="5579" w:type="dxa"/>
          </w:tcPr>
          <w:p w14:paraId="0BD75DCB" w14:textId="18B91E27" w:rsidR="005C20D1" w:rsidRPr="00DA6A43" w:rsidRDefault="005C20D1" w:rsidP="005C20D1">
            <w:pPr>
              <w:adjustRightInd w:val="0"/>
              <w:snapToGrid w:val="0"/>
              <w:rPr>
                <w:sz w:val="20"/>
                <w:szCs w:val="20"/>
              </w:rPr>
            </w:pPr>
            <w:r w:rsidRPr="00DA6A43">
              <w:rPr>
                <w:rFonts w:hint="eastAsia"/>
                <w:sz w:val="20"/>
                <w:szCs w:val="20"/>
              </w:rPr>
              <w:t>こうしてこの巨匠</w:t>
            </w:r>
            <w:r w:rsidR="00F90FA1">
              <w:rPr>
                <w:rFonts w:hint="eastAsia"/>
                <w:sz w:val="20"/>
                <w:szCs w:val="20"/>
              </w:rPr>
              <w:t>（ベートーフェン）</w:t>
            </w:r>
            <w:r w:rsidRPr="00DA6A43">
              <w:rPr>
                <w:rFonts w:hint="eastAsia"/>
                <w:sz w:val="20"/>
                <w:szCs w:val="20"/>
              </w:rPr>
              <w:t>は、絶対的音響言語が持つ唯一無二のあらゆる可能性を通して———それらの可能性の脇を通り抜けることではなく、それらの可能性をその最後の音にいたるまで、最も深い心の充実から表わすことによって———突き進み、ついにある点に到達した。しかし、この場所では、航海者が船で海の深さを測り始め、また新大陸に広く突出している浜において、固定した土地の次第に増大する丘に接触し、さらに底知れぬ大洋に引き返すべきか、あるいは新しい海岸に錨を下ろすべきかを決定しなくてはならない。しかも、荒々しい海の変化する状況が巨匠をこのような遠い旅に駆り立てたのではない。そこで、彼は新たな世界に上陸せねばならず、またそうすることを欲したのだ。というのも、この新たな世界を求めて彼は航海を行ったからである。彼は威勢よく錨を投げたが、この錨というのは言葉であった。その言葉は、声音の軟骨として流行歌手の口中で噛みくだかれたような、恣意的かつ無意味のものではなく、最も豊満な心の感情の流れ全てがその中へ注ぎ込まれるような、必然的にして非常に強力で、全てのものを総合する力を持つものである。またその言葉は、迷いゆく者に対する安全な港であり、無限の憧憬の夜を照らす光でもある。すなわち、その言葉は救済された世界の者が充実の中から叫ぶものである。ベートーフェンはそれを自身の音楽上の創造の先端に与えた。その言葉は</w:t>
            </w:r>
            <w:r w:rsidRPr="00DA6A43">
              <w:rPr>
                <w:sz w:val="20"/>
                <w:szCs w:val="20"/>
              </w:rPr>
              <w:t>——</w:t>
            </w:r>
            <w:r w:rsidRPr="00DA6A43">
              <w:rPr>
                <w:rFonts w:hint="eastAsia"/>
                <w:sz w:val="20"/>
                <w:szCs w:val="20"/>
              </w:rPr>
              <w:t>「歓喜」であった。こうして彼はこのような言葉で人々に呼びかけた、「つながれ、幾千万の人々よ！全世界に接吻せよ！」。そしてこの言葉が未来の芸術作品の言語となるだろう。</w:t>
            </w:r>
          </w:p>
          <w:p w14:paraId="13251E25" w14:textId="5FCD96C7" w:rsidR="005C20D1" w:rsidRPr="00DA6A43" w:rsidRDefault="005C20D1" w:rsidP="001D50DA">
            <w:pPr>
              <w:adjustRightInd w:val="0"/>
              <w:snapToGrid w:val="0"/>
              <w:rPr>
                <w:sz w:val="20"/>
                <w:szCs w:val="20"/>
              </w:rPr>
            </w:pPr>
            <w:r w:rsidRPr="00DA6A43">
              <w:rPr>
                <w:rFonts w:hint="eastAsia"/>
                <w:sz w:val="20"/>
                <w:szCs w:val="20"/>
              </w:rPr>
              <w:t xml:space="preserve">　ベートーフェンの最後の交響曲は、音楽をその最も独自の要素から救い出して、普遍の芸術に至らしめるものである。それは未来の芸術への人間的福音である。その上にさらなる歩みはない。なぜなら、その上には未来の完成される芸術作品のみが、すなわち普遍的共通性を持つドラマのみが直接に続くことができるからである。それへの芸術的手掛かりをベートーフェンは作ってくれた。</w:t>
            </w:r>
          </w:p>
        </w:tc>
      </w:tr>
      <w:tr w:rsidR="001D50DA" w14:paraId="312F6FDA" w14:textId="77777777" w:rsidTr="00516CD8">
        <w:tc>
          <w:tcPr>
            <w:tcW w:w="4256" w:type="dxa"/>
          </w:tcPr>
          <w:p w14:paraId="6D1E2DCD" w14:textId="7C770048" w:rsidR="001D50DA" w:rsidRDefault="001D50DA"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szCs w:val="26"/>
                <w:lang w:val="de-DE"/>
              </w:rPr>
              <w:t>Ebd. S. 150</w:t>
            </w:r>
          </w:p>
          <w:p w14:paraId="39D005B0" w14:textId="77777777" w:rsidR="001D50DA" w:rsidRDefault="001D50DA" w:rsidP="00516CD8">
            <w:pPr>
              <w:adjustRightInd w:val="0"/>
              <w:snapToGrid w:val="0"/>
              <w:rPr>
                <w:rFonts w:asciiTheme="minorEastAsia" w:hAnsiTheme="minorEastAsia" w:cs="ヒラギノ角ゴ ProN W3"/>
                <w:szCs w:val="26"/>
                <w:lang w:val="de-DE"/>
              </w:rPr>
            </w:pPr>
          </w:p>
          <w:p w14:paraId="7D0A8BB9" w14:textId="208A372F" w:rsidR="001D50DA" w:rsidRDefault="001D50DA" w:rsidP="00516CD8">
            <w:pPr>
              <w:adjustRightInd w:val="0"/>
              <w:snapToGrid w:val="0"/>
              <w:rPr>
                <w:rFonts w:asciiTheme="minorEastAsia" w:hAnsiTheme="minorEastAsia" w:cs="ヒラギノ角ゴ ProN W3"/>
                <w:szCs w:val="26"/>
                <w:lang w:val="de-DE"/>
              </w:rPr>
            </w:pPr>
            <w:r>
              <w:rPr>
                <w:rFonts w:hint="eastAsia"/>
                <w:noProof/>
                <w:color w:val="000000" w:themeColor="text1"/>
              </w:rPr>
              <w:drawing>
                <wp:inline distT="0" distB="0" distL="0" distR="0" wp14:anchorId="7173BE1E" wp14:editId="00518003">
                  <wp:extent cx="2576880" cy="257451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2.JPG"/>
                          <pic:cNvPicPr/>
                        </pic:nvPicPr>
                        <pic:blipFill>
                          <a:blip r:embed="rId12">
                            <a:extLst>
                              <a:ext uri="{28A0092B-C50C-407E-A947-70E740481C1C}">
                                <a14:useLocalDpi xmlns:a14="http://schemas.microsoft.com/office/drawing/2010/main" val="0"/>
                              </a:ext>
                            </a:extLst>
                          </a:blip>
                          <a:stretch>
                            <a:fillRect/>
                          </a:stretch>
                        </pic:blipFill>
                        <pic:spPr>
                          <a:xfrm>
                            <a:off x="0" y="0"/>
                            <a:ext cx="2576880" cy="2574512"/>
                          </a:xfrm>
                          <a:prstGeom prst="rect">
                            <a:avLst/>
                          </a:prstGeom>
                        </pic:spPr>
                      </pic:pic>
                    </a:graphicData>
                  </a:graphic>
                </wp:inline>
              </w:drawing>
            </w:r>
          </w:p>
        </w:tc>
        <w:tc>
          <w:tcPr>
            <w:tcW w:w="5579" w:type="dxa"/>
          </w:tcPr>
          <w:p w14:paraId="1885C2D2" w14:textId="77777777" w:rsidR="001D50DA" w:rsidRPr="00DA6A43" w:rsidRDefault="001D50DA" w:rsidP="001D50DA">
            <w:pPr>
              <w:adjustRightInd w:val="0"/>
              <w:snapToGrid w:val="0"/>
              <w:rPr>
                <w:sz w:val="20"/>
                <w:szCs w:val="20"/>
              </w:rPr>
            </w:pPr>
            <w:r w:rsidRPr="00DA6A43">
              <w:rPr>
                <w:rFonts w:hint="eastAsia"/>
                <w:sz w:val="20"/>
                <w:szCs w:val="20"/>
              </w:rPr>
              <w:t>芸術家は、さまざまな芸術の類いにおける総合的芸術作品の複合的作用においてのみ、完全に満足することができる。彼らの芸術的才能の孤立した時、彼らは不自由であり、完全なものであることはできない。これに反して複合的作用を持つ芸術作品においては彼らは自由であり、完全なものとなりうる。</w:t>
            </w:r>
          </w:p>
          <w:p w14:paraId="5E8F9E1F" w14:textId="77777777" w:rsidR="001D50DA" w:rsidRPr="00DA6A43" w:rsidRDefault="001D50DA" w:rsidP="001D50DA">
            <w:pPr>
              <w:adjustRightInd w:val="0"/>
              <w:snapToGrid w:val="0"/>
              <w:rPr>
                <w:sz w:val="20"/>
                <w:szCs w:val="20"/>
              </w:rPr>
            </w:pPr>
            <w:r w:rsidRPr="00DA6A43">
              <w:rPr>
                <w:rFonts w:hint="eastAsia"/>
                <w:sz w:val="20"/>
                <w:szCs w:val="20"/>
              </w:rPr>
              <w:t xml:space="preserve">　それ故、芸術の真の努力とは全てのものを包括しようとするための努力である。すなわち、真の芸術的衝動によって生かされている人はだれも、個人の特別な能力の発展によってこの類いの才能の賛美に到達することを欲するのではなく、むしろ芸術一般における人間としての賛美に到達しようとする。あらゆる芸術の複合的作用による最高の芸術作品はドラマである。</w:t>
            </w:r>
            <w:r w:rsidRPr="00DA6A43">
              <w:rPr>
                <w:sz w:val="20"/>
                <w:szCs w:val="20"/>
              </w:rPr>
              <w:t>ドラマ</w:t>
            </w:r>
            <w:r w:rsidRPr="00DA6A43">
              <w:rPr>
                <w:rFonts w:hint="eastAsia"/>
                <w:sz w:val="20"/>
                <w:szCs w:val="20"/>
              </w:rPr>
              <w:t>が可能なかぎりの充実をもって存在しているのは、その中でさまざまな類いの芸術が最高の充実をもって存在している時である。</w:t>
            </w:r>
          </w:p>
          <w:p w14:paraId="189F453A" w14:textId="4262B52F" w:rsidR="001D50DA" w:rsidRPr="00DA6A43" w:rsidRDefault="001D50DA" w:rsidP="005C20D1">
            <w:pPr>
              <w:adjustRightInd w:val="0"/>
              <w:snapToGrid w:val="0"/>
              <w:rPr>
                <w:sz w:val="20"/>
                <w:szCs w:val="20"/>
              </w:rPr>
            </w:pPr>
            <w:r w:rsidRPr="00DA6A43">
              <w:rPr>
                <w:rFonts w:hint="eastAsia"/>
                <w:sz w:val="20"/>
                <w:szCs w:val="20"/>
              </w:rPr>
              <w:t xml:space="preserve">　真の</w:t>
            </w:r>
            <w:r w:rsidRPr="00DA6A43">
              <w:rPr>
                <w:sz w:val="20"/>
                <w:szCs w:val="20"/>
              </w:rPr>
              <w:t>ドラマ</w:t>
            </w:r>
            <w:r w:rsidRPr="00DA6A43">
              <w:rPr>
                <w:rFonts w:hint="eastAsia"/>
                <w:sz w:val="20"/>
                <w:szCs w:val="20"/>
              </w:rPr>
              <w:t>は、社会へ直接的に伝えようとする、さまざまな芸術の複合的作用の衝動から生まれるものである。個々の芸術の類いは、ドラマにおける他の芸術との複合的作用によってのみ、社会に対して完全な理解のために開かれうる。というのは、あらゆる個々の芸術の意図は、互いに合意と協調の精神の下に合わさることによって完全な到達を遂げるからである。</w:t>
            </w:r>
          </w:p>
        </w:tc>
      </w:tr>
    </w:tbl>
    <w:p w14:paraId="069E1C28" w14:textId="77777777" w:rsidR="005C20D1" w:rsidRPr="00DA6A43" w:rsidRDefault="005C20D1" w:rsidP="005C20D1">
      <w:pPr>
        <w:adjustRightInd w:val="0"/>
        <w:snapToGrid w:val="0"/>
        <w:rPr>
          <w:color w:val="000000" w:themeColor="text1"/>
          <w:sz w:val="2"/>
          <w:szCs w:val="2"/>
          <w:lang w:val="de-DE"/>
        </w:rPr>
      </w:pPr>
    </w:p>
    <w:sectPr w:rsidR="005C20D1" w:rsidRPr="00DA6A43" w:rsidSect="003A43D3">
      <w:footerReference w:type="even" r:id="rId13"/>
      <w:footerReference w:type="default" r:id="rId14"/>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5F05EF">
      <w:rPr>
        <w:rStyle w:val="ac"/>
        <w:noProof/>
      </w:rPr>
      <w:t>4</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F7B28"/>
    <w:rsid w:val="00153E74"/>
    <w:rsid w:val="00186CF2"/>
    <w:rsid w:val="001D50DA"/>
    <w:rsid w:val="00203AAF"/>
    <w:rsid w:val="00227E67"/>
    <w:rsid w:val="00287762"/>
    <w:rsid w:val="002B2758"/>
    <w:rsid w:val="002C36A8"/>
    <w:rsid w:val="002E1F6D"/>
    <w:rsid w:val="00307E43"/>
    <w:rsid w:val="00331A2B"/>
    <w:rsid w:val="0036467F"/>
    <w:rsid w:val="00366EC5"/>
    <w:rsid w:val="00380612"/>
    <w:rsid w:val="003A43D3"/>
    <w:rsid w:val="003C17C3"/>
    <w:rsid w:val="00433A5E"/>
    <w:rsid w:val="004B53F2"/>
    <w:rsid w:val="005050EF"/>
    <w:rsid w:val="00511C97"/>
    <w:rsid w:val="00511FFD"/>
    <w:rsid w:val="00582626"/>
    <w:rsid w:val="005B29B8"/>
    <w:rsid w:val="005C20D1"/>
    <w:rsid w:val="005D3E47"/>
    <w:rsid w:val="005E3B4E"/>
    <w:rsid w:val="005F05EF"/>
    <w:rsid w:val="006A3B94"/>
    <w:rsid w:val="006C4666"/>
    <w:rsid w:val="00737580"/>
    <w:rsid w:val="00796AB9"/>
    <w:rsid w:val="007A7AF8"/>
    <w:rsid w:val="00853A03"/>
    <w:rsid w:val="00877337"/>
    <w:rsid w:val="008C1E4D"/>
    <w:rsid w:val="009468A6"/>
    <w:rsid w:val="00992085"/>
    <w:rsid w:val="009A0E79"/>
    <w:rsid w:val="00AE46A3"/>
    <w:rsid w:val="00B03909"/>
    <w:rsid w:val="00B667AC"/>
    <w:rsid w:val="00C34538"/>
    <w:rsid w:val="00C555F5"/>
    <w:rsid w:val="00C803E1"/>
    <w:rsid w:val="00C90973"/>
    <w:rsid w:val="00D12D9A"/>
    <w:rsid w:val="00DA6A43"/>
    <w:rsid w:val="00DC6983"/>
    <w:rsid w:val="00DF4AAD"/>
    <w:rsid w:val="00ED0BF9"/>
    <w:rsid w:val="00EE3353"/>
    <w:rsid w:val="00F90FA1"/>
    <w:rsid w:val="00F9643C"/>
    <w:rsid w:val="00FF1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5B29B8"/>
    <w:rPr>
      <w:rFonts w:ascii="AppleGothic" w:eastAsia="AppleGothic"/>
      <w:sz w:val="18"/>
      <w:szCs w:val="18"/>
    </w:rPr>
  </w:style>
  <w:style w:type="character" w:customStyle="1" w:styleId="af">
    <w:name w:val="吹き出し (文字)"/>
    <w:basedOn w:val="a0"/>
    <w:link w:val="ae"/>
    <w:uiPriority w:val="99"/>
    <w:semiHidden/>
    <w:rsid w:val="005B29B8"/>
    <w:rPr>
      <w:rFonts w:ascii="AppleGothic" w:eastAsia="AppleGothic"/>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5B29B8"/>
    <w:rPr>
      <w:rFonts w:ascii="AppleGothic" w:eastAsia="AppleGothic"/>
      <w:sz w:val="18"/>
      <w:szCs w:val="18"/>
    </w:rPr>
  </w:style>
  <w:style w:type="character" w:customStyle="1" w:styleId="af">
    <w:name w:val="吹き出し (文字)"/>
    <w:basedOn w:val="a0"/>
    <w:link w:val="ae"/>
    <w:uiPriority w:val="99"/>
    <w:semiHidden/>
    <w:rsid w:val="005B29B8"/>
    <w:rPr>
      <w:rFonts w:ascii="AppleGothic" w:eastAsia="AppleGothic"/>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deutsch.c.u-tokyo.ac.jp/~Gottschewski/gaidai/2013/131129/Allgemeine_musikalische_Zeitung%2012_1809-10.pdf" TargetMode="External"/><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1141</Words>
  <Characters>6508</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7634</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47</cp:revision>
  <cp:lastPrinted>2013-11-13T02:07:00Z</cp:lastPrinted>
  <dcterms:created xsi:type="dcterms:W3CDTF">2013-11-27T02:34:00Z</dcterms:created>
  <dcterms:modified xsi:type="dcterms:W3CDTF">2014-12-17T09:08:00Z</dcterms:modified>
  <cp:category/>
</cp:coreProperties>
</file>