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91757" w14:textId="185298BC" w:rsidR="00AD2C11" w:rsidRPr="00AD2C11" w:rsidRDefault="00AD2C11" w:rsidP="000F77E4">
      <w:pPr>
        <w:pStyle w:val="a4"/>
        <w:rPr>
          <w:rFonts w:ascii="Times New Roman" w:hAnsi="Times New Roman"/>
          <w:sz w:val="20"/>
          <w:szCs w:val="20"/>
          <w:lang w:val="en-US" w:eastAsia="ja-JP"/>
        </w:rPr>
      </w:pPr>
      <w:r>
        <w:rPr>
          <w:rFonts w:ascii="Times New Roman" w:hAnsi="Times New Roman"/>
          <w:sz w:val="20"/>
          <w:szCs w:val="20"/>
          <w:lang w:val="en-US" w:eastAsia="ja-JP"/>
        </w:rPr>
        <w:t>Hermann Gottschewski</w:t>
      </w:r>
    </w:p>
    <w:p w14:paraId="537F525D" w14:textId="7DDEE95B" w:rsidR="000F77E4" w:rsidRPr="00AD2C11" w:rsidRDefault="00AD2C11" w:rsidP="000F77E4">
      <w:pPr>
        <w:pStyle w:val="a4"/>
        <w:rPr>
          <w:rFonts w:ascii="Times New Roman" w:hAnsi="Times New Roman"/>
          <w:sz w:val="20"/>
          <w:szCs w:val="20"/>
          <w:lang w:val="en-US" w:eastAsia="ja-JP"/>
        </w:rPr>
      </w:pPr>
      <w:r>
        <w:rPr>
          <w:rFonts w:ascii="Times New Roman" w:hAnsi="Times New Roman" w:hint="eastAsia"/>
          <w:sz w:val="20"/>
          <w:szCs w:val="20"/>
          <w:lang w:eastAsia="ja-JP"/>
        </w:rPr>
        <w:t xml:space="preserve">放送大学　学習センター　</w:t>
      </w:r>
      <w:r>
        <w:rPr>
          <w:rFonts w:ascii="Times New Roman" w:hAnsi="Times New Roman"/>
          <w:sz w:val="20"/>
          <w:szCs w:val="20"/>
          <w:lang w:val="en-US" w:eastAsia="ja-JP"/>
        </w:rPr>
        <w:t>202</w:t>
      </w:r>
      <w:r w:rsidR="00757919">
        <w:rPr>
          <w:rFonts w:ascii="Times New Roman" w:hAnsi="Times New Roman"/>
          <w:sz w:val="20"/>
          <w:szCs w:val="20"/>
          <w:lang w:val="en-US" w:eastAsia="ja-JP"/>
        </w:rPr>
        <w:t>1</w:t>
      </w:r>
      <w:r>
        <w:rPr>
          <w:rFonts w:ascii="Times New Roman" w:hAnsi="Times New Roman" w:hint="eastAsia"/>
          <w:sz w:val="20"/>
          <w:szCs w:val="20"/>
          <w:lang w:val="en-US" w:eastAsia="ja-JP"/>
        </w:rPr>
        <w:t>年度</w:t>
      </w:r>
    </w:p>
    <w:p w14:paraId="0E934BB3" w14:textId="77777777" w:rsidR="00844D5C" w:rsidRDefault="00844D5C" w:rsidP="000704F4">
      <w:pPr>
        <w:widowControl/>
        <w:autoSpaceDE w:val="0"/>
        <w:autoSpaceDN w:val="0"/>
        <w:snapToGrid w:val="0"/>
        <w:spacing w:before="120"/>
        <w:jc w:val="left"/>
        <w:rPr>
          <w:color w:val="000000" w:themeColor="text1"/>
          <w:sz w:val="28"/>
          <w:szCs w:val="28"/>
          <w:lang w:val="de-DE"/>
        </w:rPr>
      </w:pPr>
      <w:r>
        <w:rPr>
          <w:rFonts w:hint="eastAsia"/>
          <w:color w:val="000000" w:themeColor="text1"/>
          <w:sz w:val="28"/>
          <w:szCs w:val="28"/>
          <w:lang w:val="de-DE"/>
        </w:rPr>
        <w:t>演奏者による装飾音の問題：</w:t>
      </w:r>
    </w:p>
    <w:p w14:paraId="09C8012B" w14:textId="43CBC4C1" w:rsidR="00F57ADC" w:rsidRPr="00844D5C" w:rsidRDefault="00844D5C" w:rsidP="000704F4">
      <w:pPr>
        <w:widowControl/>
        <w:autoSpaceDE w:val="0"/>
        <w:autoSpaceDN w:val="0"/>
        <w:adjustRightInd w:val="0"/>
        <w:snapToGrid w:val="0"/>
        <w:jc w:val="left"/>
        <w:rPr>
          <w:color w:val="000000" w:themeColor="text1"/>
          <w:sz w:val="24"/>
          <w:lang w:val="de-DE"/>
        </w:rPr>
      </w:pPr>
      <w:r w:rsidRPr="00844D5C">
        <w:rPr>
          <w:rFonts w:hint="eastAsia"/>
          <w:color w:val="000000" w:themeColor="text1"/>
          <w:sz w:val="24"/>
          <w:lang w:val="de-DE"/>
        </w:rPr>
        <w:t>モーツァルトのピアノ協奏曲第</w:t>
      </w:r>
      <w:r w:rsidRPr="00844D5C">
        <w:rPr>
          <w:rFonts w:hint="eastAsia"/>
          <w:color w:val="000000" w:themeColor="text1"/>
          <w:sz w:val="24"/>
          <w:lang w:val="de-DE"/>
        </w:rPr>
        <w:t>26</w:t>
      </w:r>
      <w:r w:rsidRPr="00844D5C">
        <w:rPr>
          <w:rFonts w:hint="eastAsia"/>
          <w:color w:val="000000" w:themeColor="text1"/>
          <w:sz w:val="24"/>
          <w:lang w:val="de-DE"/>
        </w:rPr>
        <w:t>番</w:t>
      </w:r>
      <w:r w:rsidRPr="00844D5C">
        <w:rPr>
          <w:rFonts w:hint="eastAsia"/>
          <w:color w:val="000000" w:themeColor="text1"/>
          <w:sz w:val="24"/>
          <w:lang w:val="de-DE"/>
        </w:rPr>
        <w:t xml:space="preserve"> KV 537</w:t>
      </w:r>
      <w:r w:rsidRPr="00844D5C">
        <w:rPr>
          <w:rFonts w:hint="eastAsia"/>
          <w:color w:val="000000" w:themeColor="text1"/>
          <w:sz w:val="24"/>
          <w:lang w:val="de-DE"/>
        </w:rPr>
        <w:t>（「戴冠式」）の第二楽章を事例に</w:t>
      </w:r>
    </w:p>
    <w:p w14:paraId="4A2754A9" w14:textId="77777777" w:rsidR="00B61240" w:rsidRPr="000704F4" w:rsidRDefault="00B61240" w:rsidP="000704F4">
      <w:pPr>
        <w:widowControl/>
        <w:autoSpaceDE w:val="0"/>
        <w:autoSpaceDN w:val="0"/>
        <w:snapToGrid w:val="0"/>
        <w:jc w:val="left"/>
        <w:rPr>
          <w:color w:val="000000" w:themeColor="text1"/>
          <w:sz w:val="16"/>
          <w:szCs w:val="16"/>
          <w:lang w:val="de-DE"/>
        </w:rPr>
      </w:pPr>
    </w:p>
    <w:p w14:paraId="4880998F" w14:textId="1321B941" w:rsidR="009D5559" w:rsidRPr="00757919" w:rsidRDefault="00844D5C" w:rsidP="008C4231">
      <w:pPr>
        <w:adjustRightInd w:val="0"/>
        <w:snapToGrid w:val="0"/>
        <w:spacing w:after="120" w:line="400" w:lineRule="exact"/>
        <w:rPr>
          <w:rFonts w:ascii="Hiragino Mincho Pro W6" w:eastAsia="Hiragino Mincho Pro W6" w:hAnsi="Hiragino Mincho Pro W6"/>
          <w:b/>
          <w:sz w:val="24"/>
          <w:lang w:val="de-DE"/>
        </w:rPr>
      </w:pPr>
      <w:r w:rsidRPr="00757919">
        <w:rPr>
          <w:rFonts w:ascii="Hiragino Mincho Pro W6" w:eastAsia="Hiragino Mincho Pro W6" w:hAnsi="Hiragino Mincho Pro W6" w:hint="eastAsia"/>
          <w:b/>
          <w:sz w:val="24"/>
          <w:lang w:val="de-DE"/>
        </w:rPr>
        <w:t>導入</w:t>
      </w:r>
    </w:p>
    <w:p w14:paraId="10C6FF2E" w14:textId="2FFE1268" w:rsidR="00A10EF2" w:rsidRPr="00B1307C" w:rsidRDefault="00FD71AA" w:rsidP="00B13982">
      <w:pPr>
        <w:adjustRightInd w:val="0"/>
        <w:snapToGrid w:val="0"/>
        <w:spacing w:line="360" w:lineRule="exact"/>
        <w:rPr>
          <w:rFonts w:ascii="Times New Roman" w:hAnsi="Times New Roman"/>
          <w:color w:val="000000" w:themeColor="text1"/>
          <w:sz w:val="24"/>
          <w:lang w:val="de-DE"/>
        </w:rPr>
      </w:pPr>
      <w:r>
        <w:rPr>
          <w:rFonts w:hint="eastAsia"/>
          <w:color w:val="000000" w:themeColor="text1"/>
          <w:sz w:val="24"/>
          <w:lang w:val="de-DE"/>
        </w:rPr>
        <w:t xml:space="preserve">　</w:t>
      </w:r>
      <w:r w:rsidR="00844D5C">
        <w:rPr>
          <w:rFonts w:hint="eastAsia"/>
          <w:color w:val="000000" w:themeColor="text1"/>
          <w:sz w:val="24"/>
          <w:lang w:val="de-DE"/>
        </w:rPr>
        <w:t>西洋音楽における「演奏解釈」という概念は主にベートーフェンの作品の解釈史とともに形成された</w:t>
      </w:r>
      <w:r w:rsidR="00844D5C" w:rsidRPr="001671D9">
        <w:rPr>
          <w:rFonts w:hint="eastAsia"/>
          <w:color w:val="000000" w:themeColor="text1"/>
          <w:sz w:val="24"/>
          <w:lang w:val="de-DE"/>
        </w:rPr>
        <w:t>。</w:t>
      </w:r>
      <w:r w:rsidR="00B1307C">
        <w:rPr>
          <w:rFonts w:hint="eastAsia"/>
          <w:color w:val="000000" w:themeColor="text1"/>
          <w:sz w:val="24"/>
          <w:lang w:val="de-DE"/>
        </w:rPr>
        <w:t>この</w:t>
      </w:r>
      <w:r w:rsidR="00844D5C">
        <w:rPr>
          <w:rFonts w:hint="eastAsia"/>
          <w:color w:val="000000" w:themeColor="text1"/>
          <w:sz w:val="24"/>
          <w:lang w:val="de-DE"/>
        </w:rPr>
        <w:t>演奏解釈</w:t>
      </w:r>
      <w:r w:rsidR="001662A5">
        <w:rPr>
          <w:rFonts w:hint="eastAsia"/>
          <w:color w:val="000000" w:themeColor="text1"/>
          <w:sz w:val="24"/>
          <w:lang w:val="de-DE"/>
        </w:rPr>
        <w:t>概念</w:t>
      </w:r>
      <w:r w:rsidR="00844D5C">
        <w:rPr>
          <w:rFonts w:hint="eastAsia"/>
          <w:color w:val="000000" w:themeColor="text1"/>
          <w:sz w:val="24"/>
          <w:lang w:val="de-DE"/>
        </w:rPr>
        <w:t>の形成過程において、</w:t>
      </w:r>
      <w:r w:rsidR="00A10EF2">
        <w:rPr>
          <w:rFonts w:hint="eastAsia"/>
          <w:color w:val="000000" w:themeColor="text1"/>
          <w:sz w:val="24"/>
          <w:lang w:val="de-DE"/>
        </w:rPr>
        <w:t>同時に</w:t>
      </w:r>
      <w:r w:rsidR="00844D5C">
        <w:rPr>
          <w:rFonts w:hint="eastAsia"/>
          <w:color w:val="000000" w:themeColor="text1"/>
          <w:sz w:val="24"/>
          <w:lang w:val="de-DE"/>
        </w:rPr>
        <w:t>その対象（演奏によって解釈される作品組）として</w:t>
      </w:r>
      <w:r w:rsidR="00A10EF2">
        <w:rPr>
          <w:rFonts w:hint="eastAsia"/>
          <w:color w:val="000000" w:themeColor="text1"/>
          <w:sz w:val="24"/>
          <w:lang w:val="de-DE"/>
        </w:rPr>
        <w:t>の</w:t>
      </w:r>
      <w:r w:rsidR="00844D5C">
        <w:rPr>
          <w:rFonts w:hint="eastAsia"/>
          <w:color w:val="000000" w:themeColor="text1"/>
          <w:sz w:val="24"/>
          <w:lang w:val="de-DE"/>
        </w:rPr>
        <w:t>「古典音楽」</w:t>
      </w:r>
      <w:r w:rsidR="00A10EF2">
        <w:rPr>
          <w:rFonts w:hint="eastAsia"/>
          <w:color w:val="000000" w:themeColor="text1"/>
          <w:sz w:val="24"/>
          <w:lang w:val="de-DE"/>
        </w:rPr>
        <w:t>概念</w:t>
      </w:r>
      <w:r w:rsidR="009A0AAB">
        <w:rPr>
          <w:rFonts w:hint="eastAsia"/>
          <w:color w:val="000000" w:themeColor="text1"/>
          <w:sz w:val="24"/>
          <w:lang w:val="de-DE"/>
        </w:rPr>
        <w:t>も</w:t>
      </w:r>
      <w:r w:rsidR="00F341BC">
        <w:rPr>
          <w:rFonts w:hint="eastAsia"/>
          <w:color w:val="000000" w:themeColor="text1"/>
          <w:sz w:val="24"/>
          <w:lang w:val="de-DE"/>
        </w:rPr>
        <w:t>成立する</w:t>
      </w:r>
      <w:r w:rsidR="00844D5C">
        <w:rPr>
          <w:rFonts w:hint="eastAsia"/>
          <w:color w:val="000000" w:themeColor="text1"/>
          <w:sz w:val="24"/>
          <w:lang w:val="de-DE"/>
        </w:rPr>
        <w:t>。</w:t>
      </w:r>
      <w:r w:rsidR="00B13982">
        <w:rPr>
          <w:color w:val="000000" w:themeColor="text1"/>
          <w:sz w:val="24"/>
          <w:lang w:val="de-DE"/>
        </w:rPr>
        <w:t>19</w:t>
      </w:r>
      <w:r w:rsidR="00F341BC">
        <w:rPr>
          <w:rFonts w:hint="eastAsia"/>
          <w:color w:val="000000" w:themeColor="text1"/>
          <w:sz w:val="24"/>
          <w:lang w:val="de-DE"/>
        </w:rPr>
        <w:t>世紀前半では、</w:t>
      </w:r>
      <w:r w:rsidR="00B13982">
        <w:rPr>
          <w:rFonts w:hint="eastAsia"/>
          <w:color w:val="000000" w:themeColor="text1"/>
          <w:sz w:val="24"/>
          <w:lang w:val="de-DE"/>
        </w:rPr>
        <w:t>主にハイドン・モーツァルト・ベートーフェンという三人組、そしてその三人の作品の中では特に交響曲、弦楽四重奏曲、ソナタ等という「古典的なジャンル」に属するもの</w:t>
      </w:r>
      <w:r w:rsidR="00F341BC">
        <w:rPr>
          <w:rFonts w:hint="eastAsia"/>
          <w:color w:val="000000" w:themeColor="text1"/>
          <w:sz w:val="24"/>
          <w:lang w:val="de-DE"/>
        </w:rPr>
        <w:t>が「古典音楽」と呼ばれた</w:t>
      </w:r>
      <w:r w:rsidR="00B13982">
        <w:rPr>
          <w:rFonts w:hint="eastAsia"/>
          <w:color w:val="000000" w:themeColor="text1"/>
          <w:sz w:val="24"/>
          <w:lang w:val="de-DE"/>
        </w:rPr>
        <w:t>。</w:t>
      </w:r>
      <w:r w:rsidR="00A10EF2">
        <w:rPr>
          <w:rFonts w:hint="eastAsia"/>
          <w:color w:val="000000" w:themeColor="text1"/>
          <w:sz w:val="24"/>
          <w:lang w:val="de-DE"/>
        </w:rPr>
        <w:t>「古典音楽」に対して「真面な」演奏者は「真面な」態度を取らなければならない。つまりその「古典的」作者が作ったテキスト（楽譜）を尊重し、作者の意思を十分に理解し、それを忠実に聴衆に伝えることである。古典の作品を正しく知ることは演奏者にとっても聴衆にとっても、「教養人」として解決すべき重大な課題であると考えられた。</w:t>
      </w:r>
    </w:p>
    <w:p w14:paraId="07B5D588" w14:textId="39C12E7B" w:rsidR="00A10EF2" w:rsidRDefault="00A10EF2" w:rsidP="00B13982">
      <w:pPr>
        <w:adjustRightInd w:val="0"/>
        <w:snapToGrid w:val="0"/>
        <w:spacing w:line="360" w:lineRule="exact"/>
        <w:rPr>
          <w:color w:val="000000" w:themeColor="text1"/>
          <w:sz w:val="24"/>
          <w:lang w:val="de-DE"/>
        </w:rPr>
      </w:pPr>
      <w:r>
        <w:rPr>
          <w:rFonts w:hint="eastAsia"/>
          <w:color w:val="000000" w:themeColor="text1"/>
          <w:sz w:val="24"/>
          <w:lang w:val="de-DE"/>
        </w:rPr>
        <w:t xml:space="preserve">　逆に言えば「古典音楽」に属さない作品（たとえばサロン・ピースなど）に対して、演奏者はそのような真面目な態度をとる必要がなく、演奏者として自由に扱うことができるものと考えられた。ただし「古典音楽」の範囲は自明ではない。また、時代が進み</w:t>
      </w:r>
      <w:r w:rsidR="005761EA">
        <w:rPr>
          <w:rFonts w:hint="eastAsia"/>
          <w:color w:val="000000" w:themeColor="text1"/>
          <w:sz w:val="24"/>
          <w:lang w:val="de-DE"/>
        </w:rPr>
        <w:t>、</w:t>
      </w:r>
      <w:r>
        <w:rPr>
          <w:rFonts w:hint="eastAsia"/>
          <w:color w:val="000000" w:themeColor="text1"/>
          <w:sz w:val="24"/>
          <w:lang w:val="de-DE"/>
        </w:rPr>
        <w:t>かつてモダンであった曲の一部のみがレパートリーに残り、それが徐々に「古典」と思われるようになるケースも多かった。それによって作品に対しての演奏者や聴衆の態度も変化する。</w:t>
      </w:r>
    </w:p>
    <w:p w14:paraId="66210C11" w14:textId="6DD4CCD5" w:rsidR="001F1698" w:rsidRDefault="00B1398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A2EB6">
        <w:rPr>
          <w:rFonts w:hint="eastAsia"/>
          <w:color w:val="000000" w:themeColor="text1"/>
          <w:sz w:val="24"/>
          <w:lang w:val="de-DE"/>
        </w:rPr>
        <w:t>演奏解釈の前提は「テキスト」として</w:t>
      </w:r>
      <w:r w:rsidR="00E8350B">
        <w:rPr>
          <w:rFonts w:hint="eastAsia"/>
          <w:color w:val="000000" w:themeColor="text1"/>
          <w:sz w:val="24"/>
          <w:lang w:val="de-DE"/>
        </w:rPr>
        <w:t>存在する作品、言い換えれば</w:t>
      </w:r>
      <w:r w:rsidR="00E8350B" w:rsidRPr="00E8350B">
        <w:rPr>
          <w:rFonts w:hint="eastAsia"/>
          <w:color w:val="000000" w:themeColor="text1"/>
          <w:sz w:val="24"/>
          <w:u w:val="single"/>
          <w:lang w:val="de-DE"/>
        </w:rPr>
        <w:t>楽譜として</w:t>
      </w:r>
      <w:r w:rsidR="00E8350B">
        <w:rPr>
          <w:rFonts w:hint="eastAsia"/>
          <w:color w:val="000000" w:themeColor="text1"/>
          <w:sz w:val="24"/>
          <w:lang w:val="de-DE"/>
        </w:rPr>
        <w:t>しっかりした</w:t>
      </w:r>
      <w:r w:rsidR="00E8350B" w:rsidRPr="00A10EF2">
        <w:rPr>
          <w:rFonts w:hint="eastAsia"/>
          <w:color w:val="000000" w:themeColor="text1"/>
          <w:sz w:val="24"/>
          <w:u w:val="single"/>
          <w:lang w:val="de-DE"/>
        </w:rPr>
        <w:t>構造を持つ</w:t>
      </w:r>
      <w:r w:rsidR="00E8350B">
        <w:rPr>
          <w:rFonts w:hint="eastAsia"/>
          <w:color w:val="000000" w:themeColor="text1"/>
          <w:sz w:val="24"/>
          <w:lang w:val="de-DE"/>
        </w:rPr>
        <w:t>作品である</w:t>
      </w:r>
      <w:r w:rsidR="008A2EB6">
        <w:rPr>
          <w:rFonts w:hint="eastAsia"/>
          <w:color w:val="000000" w:themeColor="text1"/>
          <w:sz w:val="24"/>
          <w:lang w:val="de-DE"/>
        </w:rPr>
        <w:t>。</w:t>
      </w:r>
      <w:r w:rsidR="00F67246">
        <w:rPr>
          <w:color w:val="000000" w:themeColor="text1"/>
          <w:sz w:val="24"/>
          <w:lang w:val="de-DE"/>
        </w:rPr>
        <w:t>18</w:t>
      </w:r>
      <w:r w:rsidR="00F67246">
        <w:rPr>
          <w:rFonts w:hint="eastAsia"/>
          <w:color w:val="000000" w:themeColor="text1"/>
          <w:sz w:val="24"/>
          <w:lang w:val="de-DE"/>
        </w:rPr>
        <w:t>世紀後半から</w:t>
      </w:r>
      <w:r w:rsidR="00F67246">
        <w:rPr>
          <w:color w:val="000000" w:themeColor="text1"/>
          <w:sz w:val="24"/>
          <w:lang w:val="de-DE"/>
        </w:rPr>
        <w:t>19</w:t>
      </w:r>
      <w:r w:rsidR="00F67246">
        <w:rPr>
          <w:rFonts w:hint="eastAsia"/>
          <w:color w:val="000000" w:themeColor="text1"/>
          <w:sz w:val="24"/>
          <w:lang w:val="de-DE"/>
        </w:rPr>
        <w:t>世紀前半までの</w:t>
      </w:r>
      <w:r w:rsidR="00F67246" w:rsidRPr="001F1698">
        <w:rPr>
          <w:rFonts w:hint="eastAsia"/>
          <w:color w:val="000000" w:themeColor="text1"/>
          <w:sz w:val="24"/>
          <w:u w:val="single"/>
          <w:lang w:val="de-DE"/>
        </w:rPr>
        <w:t>協奏曲</w:t>
      </w:r>
      <w:r w:rsidR="00BB6E05">
        <w:rPr>
          <w:rFonts w:hint="eastAsia"/>
          <w:color w:val="000000" w:themeColor="text1"/>
          <w:sz w:val="24"/>
          <w:lang w:val="de-DE"/>
        </w:rPr>
        <w:t>に</w:t>
      </w:r>
      <w:r w:rsidR="00F67246">
        <w:rPr>
          <w:rFonts w:hint="eastAsia"/>
          <w:color w:val="000000" w:themeColor="text1"/>
          <w:sz w:val="24"/>
          <w:lang w:val="de-DE"/>
        </w:rPr>
        <w:t>は</w:t>
      </w:r>
      <w:r w:rsidR="00842AAF">
        <w:rPr>
          <w:rFonts w:hint="eastAsia"/>
          <w:color w:val="000000" w:themeColor="text1"/>
          <w:sz w:val="24"/>
          <w:lang w:val="de-DE"/>
        </w:rPr>
        <w:t>ヴィルトゥオーソが自作自演するものが多く、</w:t>
      </w:r>
      <w:r w:rsidR="00842AAF" w:rsidRPr="001F1698">
        <w:rPr>
          <w:rFonts w:hint="eastAsia"/>
          <w:color w:val="000000" w:themeColor="text1"/>
          <w:sz w:val="24"/>
          <w:u w:val="single"/>
          <w:lang w:val="de-DE"/>
        </w:rPr>
        <w:t>テキスト性が薄い</w:t>
      </w:r>
      <w:r w:rsidR="00842AAF">
        <w:rPr>
          <w:rFonts w:hint="eastAsia"/>
          <w:color w:val="000000" w:themeColor="text1"/>
          <w:sz w:val="24"/>
          <w:lang w:val="de-DE"/>
        </w:rPr>
        <w:t>音楽ジャンルであったと考えられる。</w:t>
      </w:r>
      <w:r w:rsidR="001F1698">
        <w:rPr>
          <w:rFonts w:hint="eastAsia"/>
          <w:color w:val="000000" w:themeColor="text1"/>
          <w:sz w:val="24"/>
          <w:lang w:val="de-DE"/>
        </w:rPr>
        <w:t>オーケストラのスコアはしっかりと書き留められているが、それは「伴奏」として作品の中で二次的な役割を果たす。それに対してソロのパートは作曲家本人に演奏されるため、即興的な部分を多く含み、演奏ごとに変化するものであった。また作者本人が演奏しない場合でも、ソリストが即興的に自己流の演奏をすることが一般的に認められただけではなく、聴衆からも期待された。その典型的な事例は常に作曲家自身に書き留められない「カデンツァ」であるが、カデンツァ以外の部分でも演奏者の勝手な変更が多かった。</w:t>
      </w:r>
    </w:p>
    <w:p w14:paraId="53B9A051" w14:textId="546B0E47" w:rsidR="00393C52" w:rsidRDefault="00393C52" w:rsidP="00BB6E05">
      <w:pPr>
        <w:adjustRightInd w:val="0"/>
        <w:snapToGrid w:val="0"/>
        <w:spacing w:line="360" w:lineRule="exact"/>
        <w:rPr>
          <w:color w:val="000000" w:themeColor="text1"/>
          <w:sz w:val="24"/>
          <w:lang w:val="de-DE"/>
        </w:rPr>
      </w:pPr>
      <w:r>
        <w:rPr>
          <w:rFonts w:hint="eastAsia"/>
          <w:color w:val="000000" w:themeColor="text1"/>
          <w:sz w:val="24"/>
          <w:lang w:val="de-DE"/>
        </w:rPr>
        <w:t xml:space="preserve">　そう考えれば協奏曲は本来「古典音楽」の範囲外のものであり、「解釈者」というより「ヴィルトゥオーソ」としての演奏者の領域に属する。</w:t>
      </w:r>
    </w:p>
    <w:p w14:paraId="61EE94B1" w14:textId="37159489" w:rsidR="00F67246" w:rsidRDefault="001F1698" w:rsidP="00393C52">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BB6E05" w:rsidRPr="00393C52">
        <w:rPr>
          <w:rFonts w:hint="eastAsia"/>
          <w:color w:val="000000" w:themeColor="text1"/>
          <w:sz w:val="24"/>
          <w:u w:val="single"/>
          <w:lang w:val="de-DE"/>
        </w:rPr>
        <w:t>しかしベートーフェンの協奏曲</w:t>
      </w:r>
      <w:r w:rsidR="00BB6E05">
        <w:rPr>
          <w:color w:val="000000" w:themeColor="text1"/>
          <w:sz w:val="24"/>
          <w:lang w:val="de-DE"/>
        </w:rPr>
        <w:t>—</w:t>
      </w:r>
      <w:r w:rsidR="00BB6E05">
        <w:rPr>
          <w:rFonts w:hint="eastAsia"/>
          <w:color w:val="000000" w:themeColor="text1"/>
          <w:sz w:val="24"/>
          <w:lang w:val="de-DE"/>
        </w:rPr>
        <w:t>特に第</w:t>
      </w:r>
      <w:r w:rsidR="00BB6E05">
        <w:rPr>
          <w:rFonts w:hint="eastAsia"/>
          <w:color w:val="000000" w:themeColor="text1"/>
          <w:sz w:val="24"/>
          <w:lang w:val="de-DE"/>
        </w:rPr>
        <w:t>3</w:t>
      </w:r>
      <w:r w:rsidR="00BB6E05">
        <w:rPr>
          <w:rFonts w:hint="eastAsia"/>
          <w:color w:val="000000" w:themeColor="text1"/>
          <w:sz w:val="24"/>
          <w:lang w:val="de-DE"/>
        </w:rPr>
        <w:t>番から第</w:t>
      </w:r>
      <w:r w:rsidR="00BB6E05">
        <w:rPr>
          <w:rFonts w:hint="eastAsia"/>
          <w:color w:val="000000" w:themeColor="text1"/>
          <w:sz w:val="24"/>
          <w:lang w:val="de-DE"/>
        </w:rPr>
        <w:t>5</w:t>
      </w:r>
      <w:r w:rsidR="00BB6E05">
        <w:rPr>
          <w:rFonts w:hint="eastAsia"/>
          <w:color w:val="000000" w:themeColor="text1"/>
          <w:sz w:val="24"/>
          <w:lang w:val="de-DE"/>
        </w:rPr>
        <w:t>番までのピアノ協奏曲とヴァイオリン協奏曲</w:t>
      </w:r>
      <w:r w:rsidR="00BB6E05">
        <w:rPr>
          <w:color w:val="000000" w:themeColor="text1"/>
          <w:sz w:val="24"/>
          <w:lang w:val="de-DE"/>
        </w:rPr>
        <w:t>—</w:t>
      </w:r>
      <w:r w:rsidR="00BB6E05">
        <w:rPr>
          <w:rFonts w:hint="eastAsia"/>
          <w:color w:val="000000" w:themeColor="text1"/>
          <w:sz w:val="24"/>
          <w:lang w:val="de-DE"/>
        </w:rPr>
        <w:t>は</w:t>
      </w:r>
      <w:r w:rsidR="00393C52">
        <w:rPr>
          <w:rFonts w:hint="eastAsia"/>
          <w:color w:val="000000" w:themeColor="text1"/>
          <w:sz w:val="24"/>
          <w:lang w:val="de-DE"/>
        </w:rPr>
        <w:t>従来の協奏曲より強いテキスト</w:t>
      </w:r>
      <w:r w:rsidR="005761EA">
        <w:rPr>
          <w:rFonts w:hint="eastAsia"/>
          <w:color w:val="000000" w:themeColor="text1"/>
          <w:sz w:val="24"/>
          <w:lang w:val="de-DE"/>
        </w:rPr>
        <w:t>性</w:t>
      </w:r>
      <w:r w:rsidR="00393C52">
        <w:rPr>
          <w:rFonts w:hint="eastAsia"/>
          <w:color w:val="000000" w:themeColor="text1"/>
          <w:sz w:val="24"/>
          <w:lang w:val="de-DE"/>
        </w:rPr>
        <w:t>を持っていた。第</w:t>
      </w:r>
      <w:r w:rsidR="00393C52">
        <w:rPr>
          <w:color w:val="000000" w:themeColor="text1"/>
          <w:sz w:val="24"/>
          <w:lang w:val="de-DE"/>
        </w:rPr>
        <w:t>5</w:t>
      </w:r>
      <w:r w:rsidR="00393C52">
        <w:rPr>
          <w:rFonts w:hint="eastAsia"/>
          <w:color w:val="000000" w:themeColor="text1"/>
          <w:sz w:val="24"/>
          <w:lang w:val="de-DE"/>
        </w:rPr>
        <w:t>版のピアノ協奏曲には即興に任されるカデンツァすら無くなっている。その影響でピアノ協奏曲というジャンルも古典音楽のレパートリーの一部となった。またこの影響により、ベートーフェンの協奏曲の重要な先駆者と思われたモーツァルトの協奏曲も古典化したと言える。</w:t>
      </w:r>
    </w:p>
    <w:p w14:paraId="480ACD3F" w14:textId="2C18EE28" w:rsidR="00F6072C" w:rsidRDefault="00C55342" w:rsidP="00BB6E05">
      <w:pPr>
        <w:adjustRightInd w:val="0"/>
        <w:snapToGrid w:val="0"/>
        <w:spacing w:line="360" w:lineRule="exact"/>
        <w:rPr>
          <w:color w:val="000000" w:themeColor="text1"/>
          <w:sz w:val="24"/>
          <w:lang w:val="de-DE"/>
        </w:rPr>
      </w:pPr>
      <w:r>
        <w:rPr>
          <w:rFonts w:hint="eastAsia"/>
          <w:noProof/>
          <w:color w:val="000000" w:themeColor="text1"/>
          <w:sz w:val="24"/>
          <w:lang w:val="de-DE"/>
        </w:rPr>
        <mc:AlternateContent>
          <mc:Choice Requires="wps">
            <w:drawing>
              <wp:anchor distT="0" distB="0" distL="114300" distR="114300" simplePos="0" relativeHeight="251659264" behindDoc="0" locked="0" layoutInCell="1" allowOverlap="1" wp14:anchorId="53754C59" wp14:editId="1EC495A5">
                <wp:simplePos x="0" y="0"/>
                <wp:positionH relativeFrom="column">
                  <wp:posOffset>3146589</wp:posOffset>
                </wp:positionH>
                <wp:positionV relativeFrom="paragraph">
                  <wp:posOffset>665480</wp:posOffset>
                </wp:positionV>
                <wp:extent cx="816077" cy="68825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16077" cy="688258"/>
                        </a:xfrm>
                        <a:prstGeom prst="rect">
                          <a:avLst/>
                        </a:prstGeom>
                        <a:solidFill>
                          <a:schemeClr val="lt1"/>
                        </a:solidFill>
                        <a:ln w="6350">
                          <a:noFill/>
                        </a:ln>
                      </wps:spPr>
                      <wps:txbx>
                        <w:txbxContent>
                          <w:p w14:paraId="260ACC4C" w14:textId="59B45673" w:rsidR="00C55342" w:rsidRPr="00C55342" w:rsidRDefault="00C55342">
                            <w:pPr>
                              <w:rPr>
                                <w:sz w:val="36"/>
                                <w:szCs w:val="36"/>
                              </w:rPr>
                            </w:pPr>
                            <w:r w:rsidRPr="00C55342">
                              <w:rPr>
                                <w:rFonts w:hint="eastAsia"/>
                                <w:sz w:val="36"/>
                                <w:szCs w:val="36"/>
                              </w:rPr>
                              <w:t>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754C59" id="_x0000_t202" coordsize="21600,21600" o:spt="202" path="m,l,21600r21600,l21600,xe">
                <v:stroke joinstyle="miter"/>
                <v:path gradientshapeok="t" o:connecttype="rect"/>
              </v:shapetype>
              <v:shape id="テキスト ボックス 1" o:spid="_x0000_s1026" type="#_x0000_t202" style="position:absolute;left:0;text-align:left;margin-left:247.75pt;margin-top:52.4pt;width:64.25pt;height:5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" fillcolor="white [3201]" stroked="f" strokeweight=".5pt">
                <v:textbox>
                  <w:txbxContent>
                    <w:p w14:paraId="260ACC4C" w14:textId="59B45673" w:rsidR="00C55342" w:rsidRPr="00C55342" w:rsidRDefault="00C55342">
                      <w:pPr>
                        <w:rPr>
                          <w:sz w:val="36"/>
                          <w:szCs w:val="36"/>
                        </w:rPr>
                      </w:pPr>
                      <w:r w:rsidRPr="00C55342">
                        <w:rPr>
                          <w:rFonts w:hint="eastAsia"/>
                          <w:sz w:val="36"/>
                          <w:szCs w:val="36"/>
                        </w:rPr>
                        <w:t>⑨</w:t>
                      </w:r>
                    </w:p>
                  </w:txbxContent>
                </v:textbox>
              </v:shape>
            </w:pict>
          </mc:Fallback>
        </mc:AlternateContent>
      </w:r>
      <w:r w:rsidR="00F6072C">
        <w:rPr>
          <w:rFonts w:hint="eastAsia"/>
          <w:color w:val="000000" w:themeColor="text1"/>
          <w:sz w:val="24"/>
          <w:lang w:val="de-DE"/>
        </w:rPr>
        <w:t xml:space="preserve">　しかしモーツァルトのピアノ協奏曲に関しては（交響曲、弦楽四重奏曲、ソナタなどに比</w:t>
      </w:r>
      <w:r w:rsidR="00F6072C">
        <w:rPr>
          <w:rFonts w:hint="eastAsia"/>
          <w:color w:val="000000" w:themeColor="text1"/>
          <w:sz w:val="24"/>
          <w:lang w:val="de-DE"/>
        </w:rPr>
        <w:lastRenderedPageBreak/>
        <w:t>べて）完全なテキストが存在せず、モーツァルト本人であった演奏家の即興に任されていた部分が多かった。ベートーフェンの協奏曲と同じような「楽譜に従った演奏」だけでは十分な演奏効果が得られない状態であった。</w:t>
      </w:r>
      <w:r w:rsidR="007F5192">
        <w:rPr>
          <w:rFonts w:hint="eastAsia"/>
          <w:color w:val="000000" w:themeColor="text1"/>
          <w:sz w:val="24"/>
          <w:lang w:val="de-DE"/>
        </w:rPr>
        <w:t>この問題と悩んでいた</w:t>
      </w:r>
      <w:r w:rsidR="007F5192">
        <w:rPr>
          <w:color w:val="000000" w:themeColor="text1"/>
          <w:sz w:val="24"/>
          <w:lang w:val="de-DE"/>
        </w:rPr>
        <w:t>19</w:t>
      </w:r>
      <w:r w:rsidR="007F5192">
        <w:rPr>
          <w:rFonts w:hint="eastAsia"/>
          <w:color w:val="000000" w:themeColor="text1"/>
          <w:sz w:val="24"/>
          <w:lang w:val="de-DE"/>
        </w:rPr>
        <w:t>世紀後半の</w:t>
      </w:r>
      <w:r w:rsidR="007F5192">
        <w:rPr>
          <w:color w:val="000000" w:themeColor="text1"/>
          <w:sz w:val="24"/>
          <w:lang w:val="de-DE"/>
        </w:rPr>
        <w:t>Carl Reinecke</w:t>
      </w:r>
      <w:r w:rsidR="007F5192">
        <w:rPr>
          <w:rFonts w:hint="eastAsia"/>
          <w:color w:val="000000" w:themeColor="text1"/>
          <w:sz w:val="24"/>
          <w:lang w:val="de-DE"/>
        </w:rPr>
        <w:t>はそれについて著書「モーツァルトのピアノ協奏曲の復活について」</w:t>
      </w:r>
      <w:r w:rsidR="003223D5">
        <w:rPr>
          <w:rFonts w:hint="eastAsia"/>
          <w:color w:val="000000" w:themeColor="text1"/>
          <w:sz w:val="24"/>
          <w:lang w:val="de-DE"/>
        </w:rPr>
        <w:t>（</w:t>
      </w:r>
      <w:r w:rsidR="003223D5">
        <w:rPr>
          <w:color w:val="000000" w:themeColor="text1"/>
          <w:sz w:val="24"/>
          <w:lang w:val="de-DE"/>
        </w:rPr>
        <w:t>1891</w:t>
      </w:r>
      <w:r w:rsidR="008A0706">
        <w:rPr>
          <w:rFonts w:hint="eastAsia"/>
          <w:color w:val="000000" w:themeColor="text1"/>
          <w:sz w:val="24"/>
          <w:lang w:val="de-DE"/>
        </w:rPr>
        <w:t>年</w:t>
      </w:r>
      <w:r w:rsidR="003223D5">
        <w:rPr>
          <w:rFonts w:hint="eastAsia"/>
          <w:color w:val="000000" w:themeColor="text1"/>
          <w:sz w:val="24"/>
          <w:lang w:val="de-DE"/>
        </w:rPr>
        <w:t>）</w:t>
      </w:r>
      <w:r w:rsidR="006B3100">
        <w:rPr>
          <w:rFonts w:hint="eastAsia"/>
          <w:color w:val="000000" w:themeColor="text1"/>
          <w:sz w:val="24"/>
          <w:lang w:val="de-DE"/>
        </w:rPr>
        <w:t>で述べている。</w:t>
      </w:r>
      <w:r w:rsidR="006B3100">
        <w:rPr>
          <w:color w:val="000000" w:themeColor="text1"/>
          <w:sz w:val="24"/>
          <w:lang w:val="de-DE"/>
        </w:rPr>
        <w:t>19</w:t>
      </w:r>
      <w:r w:rsidR="006B3100">
        <w:rPr>
          <w:rFonts w:hint="eastAsia"/>
          <w:color w:val="000000" w:themeColor="text1"/>
          <w:sz w:val="24"/>
          <w:lang w:val="de-DE"/>
        </w:rPr>
        <w:t>世紀のピアニストは</w:t>
      </w:r>
      <w:r w:rsidR="006B3100">
        <w:rPr>
          <w:color w:val="000000" w:themeColor="text1"/>
          <w:sz w:val="24"/>
          <w:lang w:val="de-DE"/>
        </w:rPr>
        <w:t>19</w:t>
      </w:r>
      <w:r w:rsidR="006B3100">
        <w:rPr>
          <w:rFonts w:hint="eastAsia"/>
          <w:color w:val="000000" w:themeColor="text1"/>
          <w:sz w:val="24"/>
          <w:lang w:val="de-DE"/>
        </w:rPr>
        <w:t>世紀のヴィルトゥオーソ文化を背景にモーツァルトの協奏曲を演奏すれば、それは「古典派」のモーツァルトに合わないものになり</w:t>
      </w:r>
      <w:r w:rsidR="006B3100">
        <w:rPr>
          <w:rStyle w:val="a9"/>
          <w:color w:val="000000" w:themeColor="text1"/>
          <w:sz w:val="24"/>
          <w:lang w:val="de-DE"/>
        </w:rPr>
        <w:footnoteReference w:id="1"/>
      </w:r>
      <w:r w:rsidR="006B3100">
        <w:rPr>
          <w:rFonts w:hint="eastAsia"/>
          <w:color w:val="000000" w:themeColor="text1"/>
          <w:sz w:val="24"/>
          <w:lang w:val="de-DE"/>
        </w:rPr>
        <w:t>、逆にベートーフェンの作品を弾く時と同様に「楽譜の解釈」を中心とする演</w:t>
      </w:r>
      <w:r w:rsidR="00346A9C">
        <w:rPr>
          <w:rFonts w:hint="eastAsia"/>
          <w:color w:val="000000" w:themeColor="text1"/>
          <w:sz w:val="24"/>
          <w:lang w:val="de-DE"/>
        </w:rPr>
        <w:t>奏方で演奏すれば、音楽的に不十分な面が多く、またモーツァルトが自身の作品をこのように演奏したとはとても考えられない、と</w:t>
      </w:r>
      <w:r w:rsidR="006B3100">
        <w:rPr>
          <w:rFonts w:hint="eastAsia"/>
          <w:color w:val="000000" w:themeColor="text1"/>
          <w:sz w:val="24"/>
          <w:lang w:val="de-DE"/>
        </w:rPr>
        <w:t>指摘</w:t>
      </w:r>
      <w:r w:rsidR="00346A9C">
        <w:rPr>
          <w:rFonts w:hint="eastAsia"/>
          <w:color w:val="000000" w:themeColor="text1"/>
          <w:sz w:val="24"/>
          <w:lang w:val="de-DE"/>
        </w:rPr>
        <w:t>した</w:t>
      </w:r>
      <w:r w:rsidR="006B3100">
        <w:rPr>
          <w:rFonts w:hint="eastAsia"/>
          <w:color w:val="000000" w:themeColor="text1"/>
          <w:sz w:val="24"/>
          <w:lang w:val="de-DE"/>
        </w:rPr>
        <w:t>。従って</w:t>
      </w:r>
      <w:r w:rsidR="006B3100">
        <w:rPr>
          <w:color w:val="000000" w:themeColor="text1"/>
          <w:sz w:val="24"/>
          <w:lang w:val="de-DE"/>
        </w:rPr>
        <w:t>19</w:t>
      </w:r>
      <w:r w:rsidR="006B3100">
        <w:rPr>
          <w:rFonts w:hint="eastAsia"/>
          <w:color w:val="000000" w:themeColor="text1"/>
          <w:sz w:val="24"/>
          <w:lang w:val="de-DE"/>
        </w:rPr>
        <w:t>世紀のモーツァルト協奏曲の演奏が非常に乏しいものであり、結果的に作品そのものも人気がなく、稀にしか演奏されないものであった。ライネッケは、モーツァルトの協奏曲の「復活」には「モーツァルトらしい」装飾方が必要だとし、それについて具体的な分析と事例を多く挙げている。</w:t>
      </w:r>
    </w:p>
    <w:p w14:paraId="271015DD" w14:textId="1B66A8F6"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ライネッケのアプローチは言い換えれば「作曲された時代の演奏習慣を復活される」ものであり、</w:t>
      </w:r>
      <w:r>
        <w:rPr>
          <w:color w:val="000000" w:themeColor="text1"/>
          <w:sz w:val="24"/>
          <w:lang w:val="de-DE"/>
        </w:rPr>
        <w:t>20</w:t>
      </w:r>
      <w:r>
        <w:rPr>
          <w:rFonts w:hint="eastAsia"/>
          <w:color w:val="000000" w:themeColor="text1"/>
          <w:sz w:val="24"/>
          <w:lang w:val="de-DE"/>
        </w:rPr>
        <w:t>世紀後半の「</w:t>
      </w:r>
      <w:r w:rsidR="00A915F9">
        <w:rPr>
          <w:rFonts w:hint="eastAsia"/>
          <w:color w:val="000000" w:themeColor="text1"/>
          <w:sz w:val="24"/>
          <w:lang w:val="de-DE"/>
        </w:rPr>
        <w:t>古楽器派</w:t>
      </w:r>
      <w:r>
        <w:rPr>
          <w:rFonts w:hint="eastAsia"/>
          <w:color w:val="000000" w:themeColor="text1"/>
          <w:sz w:val="24"/>
          <w:lang w:val="de-DE"/>
        </w:rPr>
        <w:t>」が行なっていることと通じるものも多いと思われる。</w:t>
      </w:r>
    </w:p>
    <w:p w14:paraId="09196116" w14:textId="6CE6252F" w:rsidR="006B3100" w:rsidRDefault="006B3100"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8F3CAE">
        <w:rPr>
          <w:color w:val="000000" w:themeColor="text1"/>
          <w:sz w:val="24"/>
          <w:lang w:val="de-DE"/>
        </w:rPr>
        <w:t>230</w:t>
      </w:r>
      <w:r w:rsidR="008F3CAE">
        <w:rPr>
          <w:rFonts w:hint="eastAsia"/>
          <w:color w:val="000000" w:themeColor="text1"/>
          <w:sz w:val="24"/>
          <w:lang w:val="de-DE"/>
        </w:rPr>
        <w:t>年に渡るモーツァルトのピアノ協奏曲の演奏解釈史</w:t>
      </w:r>
      <w:r>
        <w:rPr>
          <w:rFonts w:hint="eastAsia"/>
          <w:color w:val="000000" w:themeColor="text1"/>
          <w:sz w:val="24"/>
          <w:lang w:val="de-DE"/>
        </w:rPr>
        <w:t>を</w:t>
      </w:r>
      <w:r w:rsidR="00B33277">
        <w:rPr>
          <w:rFonts w:hint="eastAsia"/>
          <w:color w:val="000000" w:themeColor="text1"/>
          <w:sz w:val="24"/>
          <w:lang w:val="de-DE"/>
        </w:rPr>
        <w:t>研究する上で</w:t>
      </w:r>
      <w:r w:rsidR="008F3CAE">
        <w:rPr>
          <w:rFonts w:hint="eastAsia"/>
          <w:color w:val="000000" w:themeColor="text1"/>
          <w:sz w:val="24"/>
          <w:lang w:val="de-DE"/>
        </w:rPr>
        <w:t>研究</w:t>
      </w:r>
      <w:r w:rsidR="00B33277">
        <w:rPr>
          <w:rFonts w:hint="eastAsia"/>
          <w:color w:val="000000" w:themeColor="text1"/>
          <w:sz w:val="24"/>
          <w:lang w:val="de-DE"/>
        </w:rPr>
        <w:t>文献</w:t>
      </w:r>
      <w:r w:rsidR="007D1A67">
        <w:rPr>
          <w:rFonts w:hint="eastAsia"/>
          <w:color w:val="000000" w:themeColor="text1"/>
          <w:sz w:val="24"/>
          <w:lang w:val="de-DE"/>
        </w:rPr>
        <w:t>（「一次資料」）</w:t>
      </w:r>
      <w:r w:rsidR="006C1CF6">
        <w:rPr>
          <w:rFonts w:hint="eastAsia"/>
          <w:color w:val="000000" w:themeColor="text1"/>
          <w:sz w:val="24"/>
          <w:lang w:val="de-DE"/>
        </w:rPr>
        <w:t>となるの</w:t>
      </w:r>
      <w:r w:rsidR="008F3CAE">
        <w:rPr>
          <w:rFonts w:hint="eastAsia"/>
          <w:color w:val="000000" w:themeColor="text1"/>
          <w:sz w:val="24"/>
          <w:lang w:val="de-DE"/>
        </w:rPr>
        <w:t>は以下のものである。</w:t>
      </w:r>
    </w:p>
    <w:p w14:paraId="45CD3D05" w14:textId="2F52C931"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（１）モーツァルトの自筆譜、またそれ以後（モーツァルト没後）の出版資料。</w:t>
      </w:r>
    </w:p>
    <w:p w14:paraId="6C12A9A7" w14:textId="01BFC3DD"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（２）「モーツァルトの弟子」であると出張していたフンメルのエディッション。</w:t>
      </w:r>
    </w:p>
    <w:p w14:paraId="34C9949B" w14:textId="22CE3C44"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（３）ライネッケのエディッション</w:t>
      </w:r>
      <w:r w:rsidR="00723EB3">
        <w:rPr>
          <w:rFonts w:hint="eastAsia"/>
          <w:color w:val="000000" w:themeColor="text1"/>
          <w:sz w:val="24"/>
          <w:lang w:val="de-DE"/>
        </w:rPr>
        <w:t>（</w:t>
      </w:r>
      <w:r w:rsidR="00723EB3">
        <w:rPr>
          <w:color w:val="000000" w:themeColor="text1"/>
          <w:sz w:val="24"/>
          <w:lang w:val="de-DE"/>
        </w:rPr>
        <w:t>1870</w:t>
      </w:r>
      <w:r w:rsidR="00723EB3">
        <w:rPr>
          <w:rFonts w:hint="eastAsia"/>
          <w:color w:val="000000" w:themeColor="text1"/>
          <w:sz w:val="24"/>
          <w:lang w:val="de-DE"/>
        </w:rPr>
        <w:t>年代）</w:t>
      </w:r>
      <w:r>
        <w:rPr>
          <w:rFonts w:hint="eastAsia"/>
          <w:color w:val="000000" w:themeColor="text1"/>
          <w:sz w:val="24"/>
          <w:lang w:val="de-DE"/>
        </w:rPr>
        <w:t>と</w:t>
      </w:r>
      <w:r w:rsidR="00723EB3">
        <w:rPr>
          <w:rFonts w:hint="eastAsia"/>
          <w:color w:val="000000" w:themeColor="text1"/>
          <w:sz w:val="24"/>
          <w:lang w:val="de-DE"/>
        </w:rPr>
        <w:t>著書（</w:t>
      </w:r>
      <w:r w:rsidR="00723EB3">
        <w:rPr>
          <w:color w:val="000000" w:themeColor="text1"/>
          <w:sz w:val="24"/>
          <w:lang w:val="de-DE"/>
        </w:rPr>
        <w:t>1891</w:t>
      </w:r>
      <w:r w:rsidR="00723EB3">
        <w:rPr>
          <w:rFonts w:hint="eastAsia"/>
          <w:color w:val="000000" w:themeColor="text1"/>
          <w:sz w:val="24"/>
          <w:lang w:val="de-DE"/>
        </w:rPr>
        <w:t>年）と</w:t>
      </w:r>
      <w:r>
        <w:rPr>
          <w:rFonts w:hint="eastAsia"/>
          <w:color w:val="000000" w:themeColor="text1"/>
          <w:sz w:val="24"/>
          <w:lang w:val="de-DE"/>
        </w:rPr>
        <w:t>ライネッケの実演によるピアノロール</w:t>
      </w:r>
      <w:r w:rsidR="00723EB3">
        <w:rPr>
          <w:rFonts w:hint="eastAsia"/>
          <w:color w:val="000000" w:themeColor="text1"/>
          <w:sz w:val="24"/>
          <w:lang w:val="de-DE"/>
        </w:rPr>
        <w:t>（</w:t>
      </w:r>
      <w:r w:rsidR="00723EB3">
        <w:rPr>
          <w:color w:val="000000" w:themeColor="text1"/>
          <w:sz w:val="24"/>
          <w:lang w:val="de-DE"/>
        </w:rPr>
        <w:t>1905</w:t>
      </w:r>
      <w:r w:rsidR="00723EB3">
        <w:rPr>
          <w:rFonts w:hint="eastAsia"/>
          <w:color w:val="000000" w:themeColor="text1"/>
          <w:sz w:val="24"/>
          <w:lang w:val="de-DE"/>
        </w:rPr>
        <w:t>年以後複数）</w:t>
      </w:r>
      <w:r>
        <w:rPr>
          <w:rFonts w:hint="eastAsia"/>
          <w:color w:val="000000" w:themeColor="text1"/>
          <w:sz w:val="24"/>
          <w:lang w:val="de-DE"/>
        </w:rPr>
        <w:t>。</w:t>
      </w:r>
    </w:p>
    <w:p w14:paraId="0F112174" w14:textId="5A7E227B" w:rsidR="00B33277" w:rsidRDefault="00B33277" w:rsidP="006936C5">
      <w:pPr>
        <w:adjustRightInd w:val="0"/>
        <w:snapToGrid w:val="0"/>
        <w:spacing w:line="360" w:lineRule="exact"/>
        <w:ind w:left="720" w:hangingChars="300" w:hanging="720"/>
        <w:rPr>
          <w:color w:val="000000" w:themeColor="text1"/>
          <w:sz w:val="24"/>
          <w:lang w:val="de-DE"/>
        </w:rPr>
      </w:pPr>
      <w:r>
        <w:rPr>
          <w:rFonts w:hint="eastAsia"/>
          <w:color w:val="000000" w:themeColor="text1"/>
          <w:sz w:val="24"/>
          <w:lang w:val="de-DE"/>
        </w:rPr>
        <w:t>（４）</w:t>
      </w:r>
      <w:r>
        <w:rPr>
          <w:color w:val="000000" w:themeColor="text1"/>
          <w:sz w:val="24"/>
          <w:lang w:val="de-DE"/>
        </w:rPr>
        <w:t>20</w:t>
      </w:r>
      <w:r w:rsidR="00895B95">
        <w:rPr>
          <w:rFonts w:hint="eastAsia"/>
          <w:color w:val="000000" w:themeColor="text1"/>
          <w:sz w:val="24"/>
          <w:lang w:val="de-DE"/>
        </w:rPr>
        <w:t>〜</w:t>
      </w:r>
      <w:r w:rsidR="00895B95">
        <w:rPr>
          <w:color w:val="000000" w:themeColor="text1"/>
          <w:sz w:val="24"/>
          <w:lang w:val="de-DE"/>
        </w:rPr>
        <w:t>21</w:t>
      </w:r>
      <w:r>
        <w:rPr>
          <w:rFonts w:hint="eastAsia"/>
          <w:color w:val="000000" w:themeColor="text1"/>
          <w:sz w:val="24"/>
          <w:lang w:val="de-DE"/>
        </w:rPr>
        <w:t>世紀以後のピアニストの録音、またはそれに関わる議論など。</w:t>
      </w:r>
    </w:p>
    <w:p w14:paraId="6B31913C" w14:textId="0F393D6D" w:rsidR="0019416B" w:rsidRDefault="00E717E4" w:rsidP="006B3100">
      <w:pPr>
        <w:adjustRightInd w:val="0"/>
        <w:snapToGrid w:val="0"/>
        <w:spacing w:line="360" w:lineRule="exact"/>
        <w:rPr>
          <w:color w:val="000000" w:themeColor="text1"/>
          <w:sz w:val="24"/>
          <w:lang w:val="de-DE"/>
        </w:rPr>
      </w:pPr>
      <w:r>
        <w:rPr>
          <w:rFonts w:hint="eastAsia"/>
          <w:color w:val="000000" w:themeColor="text1"/>
          <w:sz w:val="24"/>
          <w:lang w:val="de-DE"/>
        </w:rPr>
        <w:t xml:space="preserve">　</w:t>
      </w:r>
      <w:r w:rsidR="0019416B">
        <w:rPr>
          <w:rFonts w:hint="eastAsia"/>
          <w:color w:val="000000" w:themeColor="text1"/>
          <w:sz w:val="24"/>
          <w:lang w:val="de-DE"/>
        </w:rPr>
        <w:t>この授業ではその中からわずか一部しか扱えないが、モーツァルト協奏曲の演奏史における装飾をある程度分類して、各時代の特徴を示したいと考えている。</w:t>
      </w:r>
    </w:p>
    <w:p w14:paraId="2F28FDAC" w14:textId="3FBDD5E1" w:rsidR="00C72E83" w:rsidRDefault="00E717E4" w:rsidP="00844D5C">
      <w:pPr>
        <w:adjustRightInd w:val="0"/>
        <w:snapToGrid w:val="0"/>
        <w:spacing w:line="360" w:lineRule="exact"/>
        <w:rPr>
          <w:color w:val="000000" w:themeColor="text1"/>
          <w:sz w:val="24"/>
          <w:lang w:val="de-DE"/>
        </w:rPr>
      </w:pPr>
      <w:r>
        <w:rPr>
          <w:rFonts w:hint="eastAsia"/>
          <w:color w:val="000000" w:themeColor="text1"/>
          <w:sz w:val="24"/>
          <w:lang w:val="de-DE"/>
        </w:rPr>
        <w:t xml:space="preserve">　授業の中の装飾方の分析では以下の点に</w:t>
      </w:r>
      <w:r w:rsidR="001C7A9F">
        <w:rPr>
          <w:rFonts w:hint="eastAsia"/>
          <w:color w:val="000000" w:themeColor="text1"/>
          <w:sz w:val="24"/>
          <w:lang w:val="de-DE"/>
        </w:rPr>
        <w:t>触れたい</w:t>
      </w:r>
      <w:r>
        <w:rPr>
          <w:rFonts w:hint="eastAsia"/>
          <w:color w:val="000000" w:themeColor="text1"/>
          <w:sz w:val="24"/>
          <w:lang w:val="de-DE"/>
        </w:rPr>
        <w:t>。</w:t>
      </w:r>
    </w:p>
    <w:p w14:paraId="0AF1D474" w14:textId="77777777"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モーツァルト自身が楽譜に書き込んだ装飾音。</w:t>
      </w:r>
    </w:p>
    <w:p w14:paraId="797E44A9" w14:textId="6DA45013"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それぞれの解釈者による：</w:t>
      </w:r>
    </w:p>
    <w:p w14:paraId="5F075986" w14:textId="2DD715D0"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右手の扱いと左手の扱い（モーツァルトの自筆譜には左手が全く書かれていない）</w:t>
      </w:r>
    </w:p>
    <w:p w14:paraId="559A7FDB" w14:textId="565DC054"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曲のどの部分に装飾音が付くのか</w:t>
      </w:r>
    </w:p>
    <w:p w14:paraId="65A827D0" w14:textId="272A2BCF" w:rsidR="00E717E4" w:rsidRDefault="00E717E4" w:rsidP="00E717E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装飾音の種類</w:t>
      </w:r>
    </w:p>
    <w:p w14:paraId="069E1C28" w14:textId="295CA761" w:rsidR="005C20D1" w:rsidRDefault="00E717E4"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楽譜の尊重、またはエディッションの影響</w:t>
      </w:r>
    </w:p>
    <w:p w14:paraId="5F3B04A4" w14:textId="061E0EB6" w:rsidR="00CC3715" w:rsidRDefault="00CC3715" w:rsidP="006A542C">
      <w:pPr>
        <w:tabs>
          <w:tab w:val="left" w:pos="426"/>
          <w:tab w:val="left" w:pos="709"/>
          <w:tab w:val="left" w:pos="840"/>
          <w:tab w:val="left" w:pos="1680"/>
          <w:tab w:val="left" w:pos="2520"/>
          <w:tab w:val="left" w:pos="3360"/>
          <w:tab w:val="left" w:pos="4200"/>
          <w:tab w:val="left" w:pos="5040"/>
          <w:tab w:val="left" w:pos="5880"/>
          <w:tab w:val="left" w:pos="6930"/>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演奏者が考えてすること、または即興的に行うもの</w:t>
      </w:r>
    </w:p>
    <w:p w14:paraId="123E13A0" w14:textId="0E9A03F7" w:rsidR="00CC3715" w:rsidRDefault="00CC3715" w:rsidP="000704F4">
      <w:pPr>
        <w:tabs>
          <w:tab w:val="left" w:pos="426"/>
          <w:tab w:val="left" w:pos="709"/>
        </w:tabs>
        <w:adjustRightInd w:val="0"/>
        <w:snapToGrid w:val="0"/>
        <w:spacing w:line="360" w:lineRule="exact"/>
        <w:rPr>
          <w:rFonts w:hint="eastAsia"/>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Pr>
          <w:rFonts w:hint="eastAsia"/>
          <w:color w:val="000000" w:themeColor="text1"/>
          <w:sz w:val="24"/>
          <w:lang w:val="de-DE"/>
        </w:rPr>
        <w:t>これらのことについての時代の変化</w:t>
      </w:r>
      <w:bookmarkStart w:id="0" w:name="_GoBack"/>
      <w:bookmarkEnd w:id="0"/>
    </w:p>
    <w:p w14:paraId="4A270F5E" w14:textId="2F0A3B16" w:rsidR="006A542C" w:rsidRDefault="006A542C" w:rsidP="000704F4">
      <w:pPr>
        <w:tabs>
          <w:tab w:val="left" w:pos="426"/>
          <w:tab w:val="left" w:pos="709"/>
        </w:tabs>
        <w:adjustRightInd w:val="0"/>
        <w:snapToGrid w:val="0"/>
        <w:spacing w:line="360" w:lineRule="exact"/>
        <w:rPr>
          <w:color w:val="000000" w:themeColor="text1"/>
          <w:sz w:val="24"/>
          <w:lang w:val="de-DE"/>
        </w:rPr>
      </w:pPr>
      <w:r>
        <w:rPr>
          <w:rFonts w:hint="eastAsia"/>
          <w:color w:val="000000" w:themeColor="text1"/>
          <w:sz w:val="24"/>
          <w:lang w:val="de-DE"/>
        </w:rPr>
        <w:tab/>
      </w:r>
      <w:r>
        <w:rPr>
          <w:rFonts w:hint="eastAsia"/>
          <w:color w:val="000000" w:themeColor="text1"/>
          <w:sz w:val="24"/>
          <w:lang w:val="de-DE"/>
        </w:rPr>
        <w:t>・</w:t>
      </w:r>
      <w:r>
        <w:rPr>
          <w:rFonts w:hint="eastAsia"/>
          <w:color w:val="000000" w:themeColor="text1"/>
          <w:sz w:val="24"/>
          <w:lang w:val="de-DE"/>
        </w:rPr>
        <w:tab/>
      </w:r>
      <w:r w:rsidR="00855E69">
        <w:rPr>
          <w:rFonts w:hint="eastAsia"/>
          <w:color w:val="000000" w:themeColor="text1"/>
          <w:sz w:val="24"/>
          <w:lang w:val="de-DE"/>
        </w:rPr>
        <w:t>演奏における</w:t>
      </w:r>
      <w:r>
        <w:rPr>
          <w:rFonts w:hint="eastAsia"/>
          <w:color w:val="000000" w:themeColor="text1"/>
          <w:sz w:val="24"/>
          <w:lang w:val="de-DE"/>
        </w:rPr>
        <w:t>「古楽器</w:t>
      </w:r>
      <w:r w:rsidR="00855E69">
        <w:rPr>
          <w:rFonts w:hint="eastAsia"/>
          <w:color w:val="000000" w:themeColor="text1"/>
          <w:sz w:val="24"/>
          <w:lang w:val="de-DE"/>
        </w:rPr>
        <w:t>派</w:t>
      </w:r>
      <w:r>
        <w:rPr>
          <w:rFonts w:hint="eastAsia"/>
          <w:color w:val="000000" w:themeColor="text1"/>
          <w:sz w:val="24"/>
          <w:lang w:val="de-DE"/>
        </w:rPr>
        <w:t>」</w:t>
      </w:r>
      <w:r w:rsidR="00855E69">
        <w:rPr>
          <w:rFonts w:hint="eastAsia"/>
          <w:color w:val="000000" w:themeColor="text1"/>
          <w:sz w:val="24"/>
          <w:lang w:val="de-DE"/>
        </w:rPr>
        <w:t>の影響</w:t>
      </w:r>
    </w:p>
    <w:p w14:paraId="52FFE58F" w14:textId="4596DD0B" w:rsidR="008A044B" w:rsidRPr="001F7679" w:rsidRDefault="00C55342" w:rsidP="000704F4">
      <w:pPr>
        <w:tabs>
          <w:tab w:val="left" w:pos="426"/>
          <w:tab w:val="left" w:pos="709"/>
        </w:tabs>
        <w:adjustRightInd w:val="0"/>
        <w:snapToGrid w:val="0"/>
        <w:spacing w:line="360" w:lineRule="exact"/>
        <w:rPr>
          <w:color w:val="000000" w:themeColor="text1"/>
          <w:sz w:val="24"/>
          <w:lang w:val="de-DE"/>
        </w:rPr>
      </w:pPr>
      <w:r>
        <w:rPr>
          <w:rFonts w:hint="eastAsia"/>
          <w:noProof/>
          <w:color w:val="000000" w:themeColor="text1"/>
          <w:sz w:val="24"/>
          <w:lang w:val="de-DE"/>
        </w:rPr>
        <mc:AlternateContent>
          <mc:Choice Requires="wps">
            <w:drawing>
              <wp:anchor distT="0" distB="0" distL="114300" distR="114300" simplePos="0" relativeHeight="251661312" behindDoc="0" locked="0" layoutInCell="1" allowOverlap="1" wp14:anchorId="2C3D6C9B" wp14:editId="2E5A9784">
                <wp:simplePos x="0" y="0"/>
                <wp:positionH relativeFrom="column">
                  <wp:posOffset>3195115</wp:posOffset>
                </wp:positionH>
                <wp:positionV relativeFrom="paragraph">
                  <wp:posOffset>1371600</wp:posOffset>
                </wp:positionV>
                <wp:extent cx="816077" cy="688258"/>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16077" cy="688258"/>
                        </a:xfrm>
                        <a:prstGeom prst="rect">
                          <a:avLst/>
                        </a:prstGeom>
                        <a:solidFill>
                          <a:schemeClr val="lt1"/>
                        </a:solidFill>
                        <a:ln w="6350">
                          <a:noFill/>
                        </a:ln>
                      </wps:spPr>
                      <wps:txbx>
                        <w:txbxContent>
                          <w:p w14:paraId="37FD43F7" w14:textId="7C7A7BD6" w:rsidR="00C55342" w:rsidRPr="00C55342" w:rsidRDefault="00C55342" w:rsidP="00C55342">
                            <w:pPr>
                              <w:rPr>
                                <w:sz w:val="36"/>
                                <w:szCs w:val="36"/>
                              </w:rPr>
                            </w:pPr>
                            <w:r>
                              <w:rPr>
                                <w:rFonts w:hint="eastAsia"/>
                                <w:sz w:val="36"/>
                                <w:szCs w:val="36"/>
                              </w:rPr>
                              <w:t>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3D6C9B" id="テキスト ボックス 2" o:spid="_x0000_s1027" type="#_x0000_t202" style="position:absolute;left:0;text-align:left;margin-left:251.6pt;margin-top:108pt;width:64.25pt;height:54.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" fillcolor="white [3201]" stroked="f" strokeweight=".5pt">
                <v:textbox>
                  <w:txbxContent>
                    <w:p w14:paraId="37FD43F7" w14:textId="7C7A7BD6" w:rsidR="00C55342" w:rsidRPr="00C55342" w:rsidRDefault="00C55342" w:rsidP="00C55342">
                      <w:pPr>
                        <w:rPr>
                          <w:sz w:val="36"/>
                          <w:szCs w:val="36"/>
                        </w:rPr>
                      </w:pPr>
                      <w:r>
                        <w:rPr>
                          <w:rFonts w:hint="eastAsia"/>
                          <w:sz w:val="36"/>
                          <w:szCs w:val="36"/>
                        </w:rPr>
                        <w:t>⑩</w:t>
                      </w:r>
                    </w:p>
                  </w:txbxContent>
                </v:textbox>
              </v:shape>
            </w:pict>
          </mc:Fallback>
        </mc:AlternateContent>
      </w:r>
      <w:r w:rsidR="008A044B">
        <w:rPr>
          <w:rFonts w:hint="eastAsia"/>
          <w:color w:val="000000" w:themeColor="text1"/>
          <w:sz w:val="24"/>
          <w:lang w:val="de-DE"/>
        </w:rPr>
        <w:tab/>
      </w:r>
      <w:r w:rsidR="008A044B">
        <w:rPr>
          <w:rFonts w:hint="eastAsia"/>
          <w:color w:val="000000" w:themeColor="text1"/>
          <w:sz w:val="24"/>
          <w:lang w:val="de-DE"/>
        </w:rPr>
        <w:t>・</w:t>
      </w:r>
      <w:r w:rsidR="008A044B">
        <w:rPr>
          <w:rFonts w:hint="eastAsia"/>
          <w:color w:val="000000" w:themeColor="text1"/>
          <w:sz w:val="24"/>
          <w:lang w:val="de-DE"/>
        </w:rPr>
        <w:tab/>
      </w:r>
      <w:r w:rsidR="008A044B">
        <w:rPr>
          <w:rFonts w:hint="eastAsia"/>
          <w:color w:val="000000" w:themeColor="text1"/>
          <w:sz w:val="24"/>
          <w:lang w:val="de-DE"/>
        </w:rPr>
        <w:t>現代楽器を使う場合、装飾音はモーツァルト時代の鍵盤の制限</w:t>
      </w:r>
      <w:r w:rsidR="00E972F0">
        <w:rPr>
          <w:rFonts w:hint="eastAsia"/>
          <w:color w:val="000000" w:themeColor="text1"/>
          <w:sz w:val="24"/>
          <w:lang w:val="de-DE"/>
        </w:rPr>
        <w:t>を尊重しているか</w:t>
      </w:r>
    </w:p>
    <w:sectPr w:rsidR="008A044B" w:rsidRPr="001F7679" w:rsidSect="00410480">
      <w:footerReference w:type="even" r:id="rId7"/>
      <w:footerReference w:type="default" r:id="rId8"/>
      <w:pgSz w:w="11906" w:h="16838"/>
      <w:pgMar w:top="1021" w:right="1021" w:bottom="2155"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1CA92" w14:textId="77777777" w:rsidR="00914E42" w:rsidRDefault="00914E42" w:rsidP="006A3B94">
      <w:r>
        <w:separator/>
      </w:r>
    </w:p>
  </w:endnote>
  <w:endnote w:type="continuationSeparator" w:id="0">
    <w:p w14:paraId="4609BFE2" w14:textId="77777777" w:rsidR="00914E42" w:rsidRDefault="00914E42" w:rsidP="006A3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AppleGothic">
    <w:panose1 w:val="02000500000000000000"/>
    <w:charset w:val="81"/>
    <w:family w:val="auto"/>
    <w:pitch w:val="variable"/>
    <w:sig w:usb0="00000001" w:usb1="09060000" w:usb2="00000010" w:usb3="00000000" w:csb0="00280001" w:csb1="00000000"/>
  </w:font>
  <w:font w:name="Hiragino Mincho Pro W6">
    <w:panose1 w:val="02020600000000000000"/>
    <w:charset w:val="80"/>
    <w:family w:val="roman"/>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C6263" w14:textId="77777777" w:rsidR="00186CF2" w:rsidRDefault="00186CF2" w:rsidP="006B5A3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5FDCB944" w14:textId="77777777" w:rsidR="00186CF2" w:rsidRDefault="00186CF2">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7672B" w14:textId="5B171626" w:rsidR="00186CF2" w:rsidRPr="00410480" w:rsidRDefault="00186CF2" w:rsidP="00410480">
    <w:pPr>
      <w:pStyle w:val="aa"/>
      <w:jc w:val="center"/>
      <w:rPr>
        <w:sz w:val="36"/>
        <w:szCs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76369" w14:textId="77777777" w:rsidR="00914E42" w:rsidRDefault="00914E42" w:rsidP="006A3B94">
      <w:r>
        <w:separator/>
      </w:r>
    </w:p>
  </w:footnote>
  <w:footnote w:type="continuationSeparator" w:id="0">
    <w:p w14:paraId="4D66F9E6" w14:textId="77777777" w:rsidR="00914E42" w:rsidRDefault="00914E42" w:rsidP="006A3B94">
      <w:r>
        <w:continuationSeparator/>
      </w:r>
    </w:p>
  </w:footnote>
  <w:footnote w:id="1">
    <w:p w14:paraId="54A5F6F1" w14:textId="2C14BCCE" w:rsidR="006B3100" w:rsidRDefault="006B3100">
      <w:pPr>
        <w:pStyle w:val="a7"/>
      </w:pPr>
      <w:r>
        <w:rPr>
          <w:rStyle w:val="a9"/>
        </w:rPr>
        <w:footnoteRef/>
      </w:r>
      <w:r>
        <w:t xml:space="preserve"> </w:t>
      </w:r>
      <w:r>
        <w:rPr>
          <w:rFonts w:hint="eastAsia"/>
        </w:rPr>
        <w:t>ライネッケはその事例としてフンメル</w:t>
      </w:r>
      <w:r w:rsidR="007866DE" w:rsidRPr="00BE0E49">
        <w:rPr>
          <w:rFonts w:ascii="Times New Roman" w:hAnsi="Times New Roman"/>
          <w:lang w:val="de-DE"/>
        </w:rPr>
        <w:t>J.N. Hummel</w:t>
      </w:r>
      <w:r>
        <w:rPr>
          <w:rFonts w:hint="eastAsia"/>
        </w:rPr>
        <w:t>のエディッションを挙げ、厳しく批判する。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C97"/>
    <w:rsid w:val="000067A0"/>
    <w:rsid w:val="000119C3"/>
    <w:rsid w:val="00013C5B"/>
    <w:rsid w:val="000362E9"/>
    <w:rsid w:val="00064A75"/>
    <w:rsid w:val="000704F4"/>
    <w:rsid w:val="000810D1"/>
    <w:rsid w:val="0008257E"/>
    <w:rsid w:val="000858C9"/>
    <w:rsid w:val="000A3681"/>
    <w:rsid w:val="000B1838"/>
    <w:rsid w:val="000B27E9"/>
    <w:rsid w:val="000D3AC5"/>
    <w:rsid w:val="000F36F8"/>
    <w:rsid w:val="000F4182"/>
    <w:rsid w:val="000F6141"/>
    <w:rsid w:val="000F63E7"/>
    <w:rsid w:val="000F77E4"/>
    <w:rsid w:val="000F7B28"/>
    <w:rsid w:val="00101E26"/>
    <w:rsid w:val="00121C71"/>
    <w:rsid w:val="00126C30"/>
    <w:rsid w:val="00132011"/>
    <w:rsid w:val="00154C4E"/>
    <w:rsid w:val="00163A73"/>
    <w:rsid w:val="001662A5"/>
    <w:rsid w:val="001671D9"/>
    <w:rsid w:val="00186CF2"/>
    <w:rsid w:val="0019416B"/>
    <w:rsid w:val="001C377E"/>
    <w:rsid w:val="001C7A9F"/>
    <w:rsid w:val="001D50DA"/>
    <w:rsid w:val="001E679C"/>
    <w:rsid w:val="001F1698"/>
    <w:rsid w:val="001F2227"/>
    <w:rsid w:val="001F7679"/>
    <w:rsid w:val="00201E94"/>
    <w:rsid w:val="00202D87"/>
    <w:rsid w:val="00203AAF"/>
    <w:rsid w:val="0020523F"/>
    <w:rsid w:val="00206A1E"/>
    <w:rsid w:val="002125A7"/>
    <w:rsid w:val="00215762"/>
    <w:rsid w:val="00253C92"/>
    <w:rsid w:val="00273C1C"/>
    <w:rsid w:val="00287762"/>
    <w:rsid w:val="002A13E6"/>
    <w:rsid w:val="002C3969"/>
    <w:rsid w:val="002D5FD1"/>
    <w:rsid w:val="002E0DE4"/>
    <w:rsid w:val="002E7D0F"/>
    <w:rsid w:val="002F5B70"/>
    <w:rsid w:val="0030440A"/>
    <w:rsid w:val="00307E43"/>
    <w:rsid w:val="003223D5"/>
    <w:rsid w:val="00336266"/>
    <w:rsid w:val="00346A9C"/>
    <w:rsid w:val="00350043"/>
    <w:rsid w:val="00352DA2"/>
    <w:rsid w:val="00354F6C"/>
    <w:rsid w:val="00357EE2"/>
    <w:rsid w:val="0036467F"/>
    <w:rsid w:val="00373A69"/>
    <w:rsid w:val="00380612"/>
    <w:rsid w:val="00393C52"/>
    <w:rsid w:val="00394BAE"/>
    <w:rsid w:val="003A2439"/>
    <w:rsid w:val="003A43D3"/>
    <w:rsid w:val="003B1407"/>
    <w:rsid w:val="003E0D38"/>
    <w:rsid w:val="004028C1"/>
    <w:rsid w:val="00410480"/>
    <w:rsid w:val="00414DCA"/>
    <w:rsid w:val="00433A5E"/>
    <w:rsid w:val="00440D7D"/>
    <w:rsid w:val="004419F9"/>
    <w:rsid w:val="00450065"/>
    <w:rsid w:val="00454E35"/>
    <w:rsid w:val="0047772D"/>
    <w:rsid w:val="0048642F"/>
    <w:rsid w:val="00496B15"/>
    <w:rsid w:val="00497D73"/>
    <w:rsid w:val="004A5F64"/>
    <w:rsid w:val="004C27B8"/>
    <w:rsid w:val="004E0C1C"/>
    <w:rsid w:val="004F24C7"/>
    <w:rsid w:val="005119CA"/>
    <w:rsid w:val="00511A3F"/>
    <w:rsid w:val="00511C97"/>
    <w:rsid w:val="00511FFD"/>
    <w:rsid w:val="00535D84"/>
    <w:rsid w:val="0054126D"/>
    <w:rsid w:val="005619D8"/>
    <w:rsid w:val="005761EA"/>
    <w:rsid w:val="00580F0D"/>
    <w:rsid w:val="00586125"/>
    <w:rsid w:val="005B127A"/>
    <w:rsid w:val="005B2CF2"/>
    <w:rsid w:val="005C0EBD"/>
    <w:rsid w:val="005C1FBA"/>
    <w:rsid w:val="005C20D1"/>
    <w:rsid w:val="005D3E47"/>
    <w:rsid w:val="005E5040"/>
    <w:rsid w:val="005E7568"/>
    <w:rsid w:val="00623756"/>
    <w:rsid w:val="00623EFA"/>
    <w:rsid w:val="0063060D"/>
    <w:rsid w:val="0064170F"/>
    <w:rsid w:val="00643C52"/>
    <w:rsid w:val="00645495"/>
    <w:rsid w:val="006601B8"/>
    <w:rsid w:val="00660831"/>
    <w:rsid w:val="00687204"/>
    <w:rsid w:val="00687D38"/>
    <w:rsid w:val="006936C5"/>
    <w:rsid w:val="00697B7C"/>
    <w:rsid w:val="006A3B94"/>
    <w:rsid w:val="006A542C"/>
    <w:rsid w:val="006B3100"/>
    <w:rsid w:val="006C1CF6"/>
    <w:rsid w:val="006C4666"/>
    <w:rsid w:val="006C5CAE"/>
    <w:rsid w:val="006D6707"/>
    <w:rsid w:val="006F14CF"/>
    <w:rsid w:val="006F554E"/>
    <w:rsid w:val="006F5D4B"/>
    <w:rsid w:val="006F61C4"/>
    <w:rsid w:val="00712258"/>
    <w:rsid w:val="00715140"/>
    <w:rsid w:val="00723EB3"/>
    <w:rsid w:val="007419A2"/>
    <w:rsid w:val="00751285"/>
    <w:rsid w:val="00757919"/>
    <w:rsid w:val="00772FB2"/>
    <w:rsid w:val="00784BFE"/>
    <w:rsid w:val="007866DE"/>
    <w:rsid w:val="007930E7"/>
    <w:rsid w:val="00796AB9"/>
    <w:rsid w:val="00796E59"/>
    <w:rsid w:val="00797E32"/>
    <w:rsid w:val="007A7AF8"/>
    <w:rsid w:val="007B6068"/>
    <w:rsid w:val="007D1A67"/>
    <w:rsid w:val="007E505E"/>
    <w:rsid w:val="007E61C1"/>
    <w:rsid w:val="007F1A28"/>
    <w:rsid w:val="007F5192"/>
    <w:rsid w:val="00801E20"/>
    <w:rsid w:val="00804E57"/>
    <w:rsid w:val="00811DD4"/>
    <w:rsid w:val="00812E84"/>
    <w:rsid w:val="00814B90"/>
    <w:rsid w:val="00823E6E"/>
    <w:rsid w:val="00832CA4"/>
    <w:rsid w:val="0083772A"/>
    <w:rsid w:val="00842AAF"/>
    <w:rsid w:val="00844D5C"/>
    <w:rsid w:val="00853A03"/>
    <w:rsid w:val="00855E69"/>
    <w:rsid w:val="00863AB7"/>
    <w:rsid w:val="008667E9"/>
    <w:rsid w:val="008676C7"/>
    <w:rsid w:val="00867D86"/>
    <w:rsid w:val="00875C8C"/>
    <w:rsid w:val="008837C5"/>
    <w:rsid w:val="00895B95"/>
    <w:rsid w:val="008A044B"/>
    <w:rsid w:val="008A0706"/>
    <w:rsid w:val="008A2EB6"/>
    <w:rsid w:val="008C1E4D"/>
    <w:rsid w:val="008C4231"/>
    <w:rsid w:val="008C78BD"/>
    <w:rsid w:val="008D32B0"/>
    <w:rsid w:val="008D78ED"/>
    <w:rsid w:val="008F3CAE"/>
    <w:rsid w:val="00902068"/>
    <w:rsid w:val="00914E42"/>
    <w:rsid w:val="0093338B"/>
    <w:rsid w:val="00934DF0"/>
    <w:rsid w:val="00935F7D"/>
    <w:rsid w:val="0094324B"/>
    <w:rsid w:val="009468A6"/>
    <w:rsid w:val="009509D7"/>
    <w:rsid w:val="00954D66"/>
    <w:rsid w:val="00963458"/>
    <w:rsid w:val="00967ECD"/>
    <w:rsid w:val="009701E9"/>
    <w:rsid w:val="009A0AAB"/>
    <w:rsid w:val="009A0E79"/>
    <w:rsid w:val="009A437D"/>
    <w:rsid w:val="009D5559"/>
    <w:rsid w:val="009D7500"/>
    <w:rsid w:val="009D7D5A"/>
    <w:rsid w:val="009E5E37"/>
    <w:rsid w:val="00A10EF2"/>
    <w:rsid w:val="00A17959"/>
    <w:rsid w:val="00A257F2"/>
    <w:rsid w:val="00A3054F"/>
    <w:rsid w:val="00A403F2"/>
    <w:rsid w:val="00A40B07"/>
    <w:rsid w:val="00A50DE8"/>
    <w:rsid w:val="00A601C9"/>
    <w:rsid w:val="00A65CFD"/>
    <w:rsid w:val="00A70DEA"/>
    <w:rsid w:val="00A915F9"/>
    <w:rsid w:val="00AA2214"/>
    <w:rsid w:val="00AB7A85"/>
    <w:rsid w:val="00AC282E"/>
    <w:rsid w:val="00AD069A"/>
    <w:rsid w:val="00AD2946"/>
    <w:rsid w:val="00AD2C11"/>
    <w:rsid w:val="00AD36B7"/>
    <w:rsid w:val="00AE30B3"/>
    <w:rsid w:val="00AE46A3"/>
    <w:rsid w:val="00AE46EC"/>
    <w:rsid w:val="00AE5370"/>
    <w:rsid w:val="00AF756B"/>
    <w:rsid w:val="00B11B88"/>
    <w:rsid w:val="00B1307C"/>
    <w:rsid w:val="00B13982"/>
    <w:rsid w:val="00B21AB8"/>
    <w:rsid w:val="00B33277"/>
    <w:rsid w:val="00B3367F"/>
    <w:rsid w:val="00B415CD"/>
    <w:rsid w:val="00B44934"/>
    <w:rsid w:val="00B5155A"/>
    <w:rsid w:val="00B6001E"/>
    <w:rsid w:val="00B60129"/>
    <w:rsid w:val="00B61240"/>
    <w:rsid w:val="00B6144A"/>
    <w:rsid w:val="00B83441"/>
    <w:rsid w:val="00BA4ABF"/>
    <w:rsid w:val="00BB6E05"/>
    <w:rsid w:val="00BD7E8F"/>
    <w:rsid w:val="00BE0E49"/>
    <w:rsid w:val="00BE7B81"/>
    <w:rsid w:val="00C47C6E"/>
    <w:rsid w:val="00C55342"/>
    <w:rsid w:val="00C648F8"/>
    <w:rsid w:val="00C72E83"/>
    <w:rsid w:val="00C7452A"/>
    <w:rsid w:val="00C80173"/>
    <w:rsid w:val="00C803E1"/>
    <w:rsid w:val="00C920F4"/>
    <w:rsid w:val="00CB0DC1"/>
    <w:rsid w:val="00CB77DB"/>
    <w:rsid w:val="00CC3715"/>
    <w:rsid w:val="00D030D8"/>
    <w:rsid w:val="00D1599D"/>
    <w:rsid w:val="00D16D63"/>
    <w:rsid w:val="00D335CF"/>
    <w:rsid w:val="00D335ED"/>
    <w:rsid w:val="00D5273D"/>
    <w:rsid w:val="00D70E0E"/>
    <w:rsid w:val="00D745F0"/>
    <w:rsid w:val="00DA6A43"/>
    <w:rsid w:val="00DC3103"/>
    <w:rsid w:val="00DC6983"/>
    <w:rsid w:val="00DD0752"/>
    <w:rsid w:val="00DD3708"/>
    <w:rsid w:val="00DE159F"/>
    <w:rsid w:val="00DE7348"/>
    <w:rsid w:val="00DF1396"/>
    <w:rsid w:val="00DF4AAD"/>
    <w:rsid w:val="00E04C20"/>
    <w:rsid w:val="00E25DD2"/>
    <w:rsid w:val="00E261AD"/>
    <w:rsid w:val="00E34CED"/>
    <w:rsid w:val="00E717E4"/>
    <w:rsid w:val="00E80818"/>
    <w:rsid w:val="00E8350B"/>
    <w:rsid w:val="00E93982"/>
    <w:rsid w:val="00E95319"/>
    <w:rsid w:val="00E972F0"/>
    <w:rsid w:val="00EA3CBE"/>
    <w:rsid w:val="00EC2B29"/>
    <w:rsid w:val="00EC4506"/>
    <w:rsid w:val="00ED77D1"/>
    <w:rsid w:val="00F01871"/>
    <w:rsid w:val="00F33F6E"/>
    <w:rsid w:val="00F341BC"/>
    <w:rsid w:val="00F57ADC"/>
    <w:rsid w:val="00F6072C"/>
    <w:rsid w:val="00F61DA8"/>
    <w:rsid w:val="00F67246"/>
    <w:rsid w:val="00F74AF8"/>
    <w:rsid w:val="00F834A3"/>
    <w:rsid w:val="00F9131B"/>
    <w:rsid w:val="00F9567C"/>
    <w:rsid w:val="00F95B46"/>
    <w:rsid w:val="00F9643C"/>
    <w:rsid w:val="00FA3387"/>
    <w:rsid w:val="00FA7637"/>
    <w:rsid w:val="00FB521D"/>
    <w:rsid w:val="00FD0877"/>
    <w:rsid w:val="00FD71AA"/>
    <w:rsid w:val="00FE4A38"/>
    <w:rsid w:val="00FF3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3E934F82"/>
  <w14:defaultImageDpi w14:val="300"/>
  <w15:docId w15:val="{07E8C128-B687-804D-9347-1A457D06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Date"/>
    <w:basedOn w:val="a"/>
    <w:next w:val="a"/>
    <w:link w:val="a5"/>
    <w:uiPriority w:val="99"/>
    <w:unhideWhenUsed/>
    <w:rsid w:val="00AE46A3"/>
    <w:rPr>
      <w:sz w:val="24"/>
      <w:lang w:val="x-none" w:eastAsia="x-none"/>
    </w:rPr>
  </w:style>
  <w:style w:type="character" w:customStyle="1" w:styleId="a5">
    <w:name w:val="日付 (文字)"/>
    <w:basedOn w:val="a0"/>
    <w:link w:val="a4"/>
    <w:uiPriority w:val="99"/>
    <w:rsid w:val="00AE46A3"/>
    <w:rPr>
      <w:kern w:val="2"/>
      <w:sz w:val="24"/>
      <w:szCs w:val="24"/>
      <w:lang w:val="x-none" w:eastAsia="x-none"/>
    </w:rPr>
  </w:style>
  <w:style w:type="character" w:styleId="a6">
    <w:name w:val="FollowedHyperlink"/>
    <w:basedOn w:val="a0"/>
    <w:uiPriority w:val="99"/>
    <w:semiHidden/>
    <w:unhideWhenUsed/>
    <w:rsid w:val="00287762"/>
    <w:rPr>
      <w:color w:val="800080" w:themeColor="followedHyperlink"/>
      <w:u w:val="single"/>
    </w:rPr>
  </w:style>
  <w:style w:type="paragraph" w:styleId="a7">
    <w:name w:val="footnote text"/>
    <w:basedOn w:val="a"/>
    <w:link w:val="a8"/>
    <w:uiPriority w:val="99"/>
    <w:unhideWhenUsed/>
    <w:rsid w:val="006A3B94"/>
    <w:pPr>
      <w:snapToGrid w:val="0"/>
      <w:jc w:val="left"/>
    </w:pPr>
  </w:style>
  <w:style w:type="character" w:customStyle="1" w:styleId="a8">
    <w:name w:val="脚注文字列 (文字)"/>
    <w:basedOn w:val="a0"/>
    <w:link w:val="a7"/>
    <w:uiPriority w:val="99"/>
    <w:rsid w:val="006A3B94"/>
    <w:rPr>
      <w:kern w:val="2"/>
      <w:sz w:val="21"/>
      <w:szCs w:val="24"/>
      <w:lang w:eastAsia="ja-JP"/>
    </w:rPr>
  </w:style>
  <w:style w:type="character" w:styleId="a9">
    <w:name w:val="footnote reference"/>
    <w:basedOn w:val="a0"/>
    <w:uiPriority w:val="99"/>
    <w:unhideWhenUsed/>
    <w:rsid w:val="006A3B94"/>
    <w:rPr>
      <w:vertAlign w:val="superscript"/>
    </w:rPr>
  </w:style>
  <w:style w:type="paragraph" w:styleId="aa">
    <w:name w:val="footer"/>
    <w:basedOn w:val="a"/>
    <w:link w:val="ab"/>
    <w:uiPriority w:val="99"/>
    <w:unhideWhenUsed/>
    <w:rsid w:val="00186CF2"/>
    <w:pPr>
      <w:tabs>
        <w:tab w:val="center" w:pos="4252"/>
        <w:tab w:val="right" w:pos="8504"/>
      </w:tabs>
      <w:snapToGrid w:val="0"/>
    </w:pPr>
  </w:style>
  <w:style w:type="character" w:customStyle="1" w:styleId="ab">
    <w:name w:val="フッター (文字)"/>
    <w:basedOn w:val="a0"/>
    <w:link w:val="aa"/>
    <w:uiPriority w:val="99"/>
    <w:rsid w:val="00186CF2"/>
    <w:rPr>
      <w:kern w:val="2"/>
      <w:sz w:val="21"/>
      <w:szCs w:val="24"/>
      <w:lang w:eastAsia="ja-JP"/>
    </w:rPr>
  </w:style>
  <w:style w:type="character" w:styleId="ac">
    <w:name w:val="page number"/>
    <w:basedOn w:val="a0"/>
    <w:uiPriority w:val="99"/>
    <w:semiHidden/>
    <w:unhideWhenUsed/>
    <w:rsid w:val="00186CF2"/>
  </w:style>
  <w:style w:type="table" w:styleId="ad">
    <w:name w:val="Table Grid"/>
    <w:basedOn w:val="a1"/>
    <w:uiPriority w:val="59"/>
    <w:rsid w:val="00380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BE7B81"/>
    <w:rPr>
      <w:rFonts w:ascii="AppleGothic" w:eastAsia="AppleGothic"/>
      <w:sz w:val="18"/>
      <w:szCs w:val="18"/>
    </w:rPr>
  </w:style>
  <w:style w:type="character" w:customStyle="1" w:styleId="af">
    <w:name w:val="吹き出し (文字)"/>
    <w:basedOn w:val="a0"/>
    <w:link w:val="ae"/>
    <w:uiPriority w:val="99"/>
    <w:semiHidden/>
    <w:rsid w:val="00BE7B81"/>
    <w:rPr>
      <w:rFonts w:ascii="AppleGothic" w:eastAsia="AppleGothic"/>
      <w:kern w:val="2"/>
      <w:sz w:val="18"/>
      <w:szCs w:val="18"/>
      <w:lang w:eastAsia="ja-JP"/>
    </w:rPr>
  </w:style>
  <w:style w:type="paragraph" w:styleId="af0">
    <w:name w:val="header"/>
    <w:basedOn w:val="a"/>
    <w:link w:val="af1"/>
    <w:uiPriority w:val="99"/>
    <w:unhideWhenUsed/>
    <w:rsid w:val="00410480"/>
    <w:pPr>
      <w:tabs>
        <w:tab w:val="center" w:pos="4252"/>
        <w:tab w:val="right" w:pos="8504"/>
      </w:tabs>
      <w:snapToGrid w:val="0"/>
    </w:pPr>
  </w:style>
  <w:style w:type="character" w:customStyle="1" w:styleId="af1">
    <w:name w:val="ヘッダー (文字)"/>
    <w:basedOn w:val="a0"/>
    <w:link w:val="af0"/>
    <w:uiPriority w:val="99"/>
    <w:rsid w:val="00410480"/>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F2526-7ED3-214B-ACEA-80A0EE53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2</Pages>
  <Words>1235</Words>
  <Characters>1235</Characters>
  <Application>Microsoft Office Word</Application>
  <DocSecurity>0</DocSecurity>
  <Lines>47</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Hermann Gottschewski</vt:lpstr>
      <vt:lpstr>Hermann Gottschewski</vt:lpstr>
    </vt:vector>
  </TitlesOfParts>
  <Manager/>
  <Company> Setagaya-ku</Company>
  <LinksUpToDate>false</LinksUpToDate>
  <CharactersWithSpaces>2445</CharactersWithSpaces>
  <SharedDoc>false</SharedDoc>
  <HyperlinkBase/>
  <HLinks>
    <vt:vector size="36" baseType="variant">
      <vt:variant>
        <vt:i4>589829</vt:i4>
      </vt:variant>
      <vt:variant>
        <vt:i4>15</vt:i4>
      </vt:variant>
      <vt:variant>
        <vt:i4>0</vt:i4>
      </vt:variant>
      <vt:variant>
        <vt:i4>5</vt:i4>
      </vt:variant>
      <vt:variant>
        <vt:lpwstr>http://deutsch.c.u-tokyo.ac.jp/~Gottschewski/history/uu11/0630/Nottebohm1887.pdf</vt:lpwstr>
      </vt:variant>
      <vt:variant>
        <vt:lpwstr/>
      </vt:variant>
      <vt:variant>
        <vt:i4>1966101</vt:i4>
      </vt:variant>
      <vt:variant>
        <vt:i4>12</vt:i4>
      </vt:variant>
      <vt:variant>
        <vt:i4>0</vt:i4>
      </vt:variant>
      <vt:variant>
        <vt:i4>5</vt:i4>
      </vt:variant>
      <vt:variant>
        <vt:lpwstr>http://deutsch.c.u-tokyo.ac.jp/~Gottschewski/history/uu11/0630/MarxAnleitung1863.pdf</vt:lpwstr>
      </vt:variant>
      <vt:variant>
        <vt:lpwstr/>
      </vt:variant>
      <vt:variant>
        <vt:i4>3997781</vt:i4>
      </vt:variant>
      <vt:variant>
        <vt:i4>9</vt:i4>
      </vt:variant>
      <vt:variant>
        <vt:i4>0</vt:i4>
      </vt:variant>
      <vt:variant>
        <vt:i4>5</vt:i4>
      </vt:variant>
      <vt:variant>
        <vt:lpwstr>http://deutsch.c.u-tokyo.ac.jp/~Gottschewski/history/uu11/0630/MarxBiographie1863.pdf</vt:lpwstr>
      </vt:variant>
      <vt:variant>
        <vt:lpwstr/>
      </vt:variant>
      <vt:variant>
        <vt:i4>5898286</vt:i4>
      </vt:variant>
      <vt:variant>
        <vt:i4>6</vt:i4>
      </vt:variant>
      <vt:variant>
        <vt:i4>0</vt:i4>
      </vt:variant>
      <vt:variant>
        <vt:i4>5</vt:i4>
      </vt:variant>
      <vt:variant>
        <vt:lpwstr>http://deutsch.c.u-tokyo.ac.jp/~Gottschewski/history/uu11/0630/Lenz1860.pdf</vt:lpwstr>
      </vt:variant>
      <vt:variant>
        <vt:lpwstr/>
      </vt:variant>
      <vt:variant>
        <vt:i4>3211334</vt:i4>
      </vt:variant>
      <vt:variant>
        <vt:i4>3</vt:i4>
      </vt:variant>
      <vt:variant>
        <vt:i4>0</vt:i4>
      </vt:variant>
      <vt:variant>
        <vt:i4>5</vt:i4>
      </vt:variant>
      <vt:variant>
        <vt:lpwstr>http://deutsch.c.u-tokyo.ac.jp/~Gottschewski/history/uu11/0630/Czerny1845.pdf</vt:lpwstr>
      </vt:variant>
      <vt:variant>
        <vt:lpwstr/>
      </vt:variant>
      <vt:variant>
        <vt:i4>3801108</vt:i4>
      </vt:variant>
      <vt:variant>
        <vt:i4>0</vt:i4>
      </vt:variant>
      <vt:variant>
        <vt:i4>0</vt:i4>
      </vt:variant>
      <vt:variant>
        <vt:i4>5</vt:i4>
      </vt:variant>
      <vt:variant>
        <vt:lpwstr>http://www.youtube.com/watch?v=k8n59oSvBNk&amp;playnext=1&amp;list=PL2C061CB953A7DCF2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Hermann Gottschewski</dc:title>
  <dc:subject/>
  <dc:creator>岡野宏</dc:creator>
  <cp:keywords/>
  <dc:description/>
  <cp:lastModifiedBy>Microsoft Office User</cp:lastModifiedBy>
  <cp:revision>109</cp:revision>
  <cp:lastPrinted>2021-11-22T14:22:00Z</cp:lastPrinted>
  <dcterms:created xsi:type="dcterms:W3CDTF">2014-12-08T07:28:00Z</dcterms:created>
  <dcterms:modified xsi:type="dcterms:W3CDTF">2021-11-22T14:22:00Z</dcterms:modified>
  <cp:category/>
</cp:coreProperties>
</file>